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68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30"/>
        <w:gridCol w:w="2906"/>
        <w:gridCol w:w="2552"/>
      </w:tblGrid>
      <w:tr w:rsidR="000343BE" w:rsidRPr="004B7B3A" w14:paraId="09E3E26B" w14:textId="77777777" w:rsidTr="00A65824">
        <w:tc>
          <w:tcPr>
            <w:tcW w:w="7230" w:type="dxa"/>
            <w:tcBorders>
              <w:top w:val="nil"/>
              <w:left w:val="nil"/>
              <w:bottom w:val="single" w:sz="6" w:space="0" w:color="auto"/>
              <w:right w:val="nil"/>
            </w:tcBorders>
          </w:tcPr>
          <w:p w14:paraId="292DA022" w14:textId="77777777" w:rsidR="000343BE" w:rsidRPr="004B7B3A" w:rsidRDefault="000343BE" w:rsidP="00352FBF">
            <w:pPr>
              <w:tabs>
                <w:tab w:val="left" w:pos="5670"/>
              </w:tabs>
              <w:rPr>
                <w:rFonts w:cs="Arial"/>
                <w:b/>
                <w:szCs w:val="22"/>
              </w:rPr>
            </w:pPr>
            <w:r>
              <w:rPr>
                <w:b/>
              </w:rPr>
              <w:t>Annex 1 to the contract pursuant to DE-UZ 221</w:t>
            </w:r>
          </w:p>
          <w:p w14:paraId="5664EE26" w14:textId="77777777" w:rsidR="000343BE" w:rsidRPr="004B7B3A" w:rsidRDefault="000343BE" w:rsidP="00352FBF">
            <w:pPr>
              <w:tabs>
                <w:tab w:val="left" w:pos="5670"/>
              </w:tabs>
              <w:rPr>
                <w:rFonts w:cs="Arial"/>
                <w:b/>
                <w:szCs w:val="22"/>
              </w:rPr>
            </w:pPr>
          </w:p>
          <w:p w14:paraId="791111AD" w14:textId="77777777" w:rsidR="000343BE" w:rsidRPr="004B7B3A" w:rsidRDefault="000343BE" w:rsidP="00352FBF">
            <w:pPr>
              <w:tabs>
                <w:tab w:val="left" w:pos="5670"/>
              </w:tabs>
              <w:rPr>
                <w:rFonts w:cs="Arial"/>
                <w:b/>
                <w:szCs w:val="22"/>
              </w:rPr>
            </w:pPr>
            <w:r>
              <w:rPr>
                <w:b/>
              </w:rPr>
              <w:t>Environmental Label for</w:t>
            </w:r>
          </w:p>
          <w:p w14:paraId="1EE00CF1" w14:textId="77777777" w:rsidR="000343BE" w:rsidRPr="004B7B3A" w:rsidRDefault="000343BE" w:rsidP="00352FBF">
            <w:pPr>
              <w:tabs>
                <w:tab w:val="left" w:pos="5670"/>
              </w:tabs>
              <w:rPr>
                <w:rFonts w:cs="Arial"/>
                <w:b/>
                <w:szCs w:val="22"/>
              </w:rPr>
            </w:pPr>
            <w:r>
              <w:rPr>
                <w:b/>
              </w:rPr>
              <w:t>“Underwater Coatings and Other Antifouling Systems”</w:t>
            </w:r>
          </w:p>
        </w:tc>
        <w:tc>
          <w:tcPr>
            <w:tcW w:w="2906" w:type="dxa"/>
            <w:tcBorders>
              <w:top w:val="nil"/>
              <w:left w:val="nil"/>
              <w:bottom w:val="nil"/>
              <w:right w:val="single" w:sz="6" w:space="0" w:color="auto"/>
            </w:tcBorders>
          </w:tcPr>
          <w:p w14:paraId="145D2D08" w14:textId="77777777" w:rsidR="000343BE" w:rsidRPr="004B7B3A" w:rsidRDefault="000343BE" w:rsidP="00352FBF">
            <w:pPr>
              <w:tabs>
                <w:tab w:val="left" w:pos="5670"/>
              </w:tabs>
              <w:rPr>
                <w:rFonts w:cs="Arial"/>
                <w:b/>
                <w:szCs w:val="22"/>
              </w:rPr>
            </w:pPr>
          </w:p>
        </w:tc>
        <w:tc>
          <w:tcPr>
            <w:tcW w:w="2552" w:type="dxa"/>
            <w:tcBorders>
              <w:left w:val="nil"/>
            </w:tcBorders>
            <w:vAlign w:val="center"/>
          </w:tcPr>
          <w:p w14:paraId="55953737" w14:textId="77777777" w:rsidR="000343BE" w:rsidRPr="004B7B3A" w:rsidRDefault="000343BE" w:rsidP="00352FBF">
            <w:pPr>
              <w:tabs>
                <w:tab w:val="left" w:pos="5670"/>
              </w:tabs>
              <w:jc w:val="center"/>
              <w:rPr>
                <w:rFonts w:cs="Arial"/>
                <w:b/>
                <w:szCs w:val="22"/>
              </w:rPr>
            </w:pPr>
            <w:r>
              <w:rPr>
                <w:b/>
              </w:rPr>
              <w:t>Please use this</w:t>
            </w:r>
          </w:p>
          <w:p w14:paraId="5874125E" w14:textId="77777777" w:rsidR="000343BE" w:rsidRPr="004B7B3A" w:rsidRDefault="000343BE" w:rsidP="00352FBF">
            <w:pPr>
              <w:tabs>
                <w:tab w:val="left" w:pos="5670"/>
              </w:tabs>
              <w:jc w:val="center"/>
              <w:rPr>
                <w:rFonts w:cs="Arial"/>
                <w:b/>
                <w:szCs w:val="22"/>
              </w:rPr>
            </w:pPr>
          </w:p>
          <w:p w14:paraId="77F194BC" w14:textId="77777777" w:rsidR="000343BE" w:rsidRPr="004B7B3A" w:rsidRDefault="000343BE" w:rsidP="00352FBF">
            <w:pPr>
              <w:tabs>
                <w:tab w:val="left" w:pos="5670"/>
              </w:tabs>
              <w:jc w:val="center"/>
              <w:rPr>
                <w:rFonts w:cs="Arial"/>
                <w:b/>
                <w:szCs w:val="22"/>
              </w:rPr>
            </w:pPr>
            <w:r>
              <w:rPr>
                <w:b/>
              </w:rPr>
              <w:t>printed form!</w:t>
            </w:r>
          </w:p>
        </w:tc>
      </w:tr>
    </w:tbl>
    <w:p w14:paraId="0671C890" w14:textId="77777777" w:rsidR="000343BE" w:rsidRPr="004B7B3A" w:rsidRDefault="000343BE" w:rsidP="000343BE">
      <w:pPr>
        <w:tabs>
          <w:tab w:val="left" w:pos="5670"/>
        </w:tabs>
        <w:rPr>
          <w:rFonts w:cs="Arial"/>
          <w:szCs w:val="22"/>
        </w:rPr>
      </w:pPr>
    </w:p>
    <w:p w14:paraId="5627FDCC" w14:textId="77777777" w:rsidR="000343BE" w:rsidRPr="004B7B3A" w:rsidRDefault="000343BE" w:rsidP="000343BE">
      <w:pPr>
        <w:tabs>
          <w:tab w:val="left" w:pos="5670"/>
        </w:tabs>
        <w:rPr>
          <w:rFonts w:cs="Arial"/>
          <w:szCs w:val="22"/>
        </w:rPr>
      </w:pPr>
    </w:p>
    <w:p w14:paraId="574071DF" w14:textId="71F584CC" w:rsidR="000343BE" w:rsidRPr="004B7B3A" w:rsidRDefault="000343BE" w:rsidP="000343BE">
      <w:pPr>
        <w:tabs>
          <w:tab w:val="left" w:pos="3119"/>
        </w:tabs>
        <w:jc w:val="both"/>
        <w:rPr>
          <w:rFonts w:cs="Arial"/>
          <w:szCs w:val="22"/>
        </w:rPr>
      </w:pPr>
      <w:r>
        <w:t>Manufacturer (licence holder):</w:t>
      </w:r>
      <w:r>
        <w:tab/>
      </w:r>
      <w:r w:rsidRPr="004B7B3A">
        <w:rPr>
          <w:rFonts w:cs="Arial"/>
        </w:rPr>
        <w:fldChar w:fldCharType="begin" w:fldLock="1">
          <w:ffData>
            <w:name w:val="Text4"/>
            <w:enabled/>
            <w:calcOnExit w:val="0"/>
            <w:textInput>
              <w:maxLength w:val="40"/>
            </w:textInput>
          </w:ffData>
        </w:fldChar>
      </w:r>
      <w:bookmarkStart w:id="0" w:name="Text4"/>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bookmarkEnd w:id="0"/>
    </w:p>
    <w:p w14:paraId="5E5D4E07"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3C875077"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2E26AA9E"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1C6C2A85" w14:textId="77777777" w:rsidR="000343BE" w:rsidRPr="004B7B3A" w:rsidRDefault="000343BE" w:rsidP="000343BE">
      <w:pPr>
        <w:tabs>
          <w:tab w:val="left" w:pos="3119"/>
        </w:tabs>
        <w:jc w:val="both"/>
        <w:rPr>
          <w:rFonts w:cs="Arial"/>
          <w:szCs w:val="22"/>
        </w:rPr>
      </w:pPr>
    </w:p>
    <w:p w14:paraId="7CA7EFDA" w14:textId="77777777" w:rsidR="000343BE" w:rsidRPr="004B7B3A" w:rsidRDefault="000343BE" w:rsidP="000343BE">
      <w:pPr>
        <w:tabs>
          <w:tab w:val="left" w:pos="3119"/>
        </w:tabs>
        <w:jc w:val="both"/>
        <w:rPr>
          <w:rFonts w:cs="Arial"/>
          <w:szCs w:val="22"/>
        </w:rPr>
      </w:pPr>
    </w:p>
    <w:p w14:paraId="51A97F99" w14:textId="77777777" w:rsidR="000343BE" w:rsidRPr="004B7B3A" w:rsidRDefault="000343BE" w:rsidP="000343BE">
      <w:pPr>
        <w:tabs>
          <w:tab w:val="left" w:pos="739"/>
          <w:tab w:val="left" w:pos="3119"/>
        </w:tabs>
        <w:rPr>
          <w:rFonts w:cs="Arial"/>
          <w:szCs w:val="22"/>
        </w:rPr>
      </w:pPr>
      <w:r>
        <w:t>Distributor (label user):</w:t>
      </w: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6E90DEBB"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46BD9715"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7259D0E0"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7AAF0FD1" w14:textId="77777777" w:rsidR="000343BE" w:rsidRPr="004B7B3A" w:rsidRDefault="000343BE" w:rsidP="000343BE">
      <w:pPr>
        <w:tabs>
          <w:tab w:val="left" w:pos="3119"/>
        </w:tabs>
        <w:jc w:val="both"/>
        <w:rPr>
          <w:rFonts w:cs="Arial"/>
          <w:szCs w:val="22"/>
        </w:rPr>
      </w:pPr>
    </w:p>
    <w:p w14:paraId="28FEBB3D" w14:textId="77777777" w:rsidR="000343BE" w:rsidRPr="004B7B3A" w:rsidRDefault="000343BE" w:rsidP="000343BE">
      <w:pPr>
        <w:tabs>
          <w:tab w:val="left" w:pos="3119"/>
        </w:tabs>
        <w:jc w:val="both"/>
        <w:rPr>
          <w:rFonts w:cs="Arial"/>
          <w:szCs w:val="22"/>
        </w:rPr>
      </w:pPr>
    </w:p>
    <w:p w14:paraId="4F61E5CE" w14:textId="77777777" w:rsidR="000343BE" w:rsidRPr="004B7B3A" w:rsidRDefault="000343BE" w:rsidP="000343BE">
      <w:pPr>
        <w:tabs>
          <w:tab w:val="left" w:pos="3119"/>
        </w:tabs>
        <w:jc w:val="both"/>
        <w:rPr>
          <w:rFonts w:cs="Arial"/>
          <w:szCs w:val="22"/>
        </w:rPr>
      </w:pPr>
      <w:r>
        <w:t>Product designation:</w:t>
      </w: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79B9F715"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6E48EC5E" w14:textId="77777777" w:rsidR="000343BE" w:rsidRPr="004B7B3A" w:rsidRDefault="000343BE" w:rsidP="000343BE">
      <w:pPr>
        <w:tabs>
          <w:tab w:val="left" w:pos="3119"/>
        </w:tabs>
        <w:jc w:val="both"/>
        <w:rPr>
          <w:rFonts w:cs="Arial"/>
          <w:szCs w:val="22"/>
        </w:rPr>
      </w:pPr>
      <w:r>
        <w:tab/>
      </w:r>
      <w:r w:rsidRPr="004B7B3A">
        <w:rPr>
          <w:rFonts w:cs="Arial"/>
        </w:rPr>
        <w:fldChar w:fldCharType="begin" w:fldLock="1">
          <w:ffData>
            <w:name w:val="Text4"/>
            <w:enabled/>
            <w:calcOnExit w:val="0"/>
            <w:textInput>
              <w:maxLength w:val="40"/>
            </w:textInput>
          </w:ffData>
        </w:fldChar>
      </w:r>
      <w:r w:rsidRPr="004B7B3A">
        <w:rPr>
          <w:rFonts w:cs="Arial"/>
        </w:rPr>
        <w:instrText xml:space="preserve"> FORMTEXT </w:instrText>
      </w:r>
      <w:r w:rsidRPr="004B7B3A">
        <w:rPr>
          <w:rFonts w:cs="Arial"/>
        </w:rPr>
      </w:r>
      <w:r w:rsidRPr="004B7B3A">
        <w:rPr>
          <w:rFonts w:cs="Arial"/>
        </w:rPr>
        <w:fldChar w:fldCharType="separate"/>
      </w:r>
      <w:r>
        <w:t>     </w:t>
      </w:r>
      <w:r w:rsidRPr="004B7B3A">
        <w:rPr>
          <w:rFonts w:cs="Arial"/>
        </w:rPr>
        <w:fldChar w:fldCharType="end"/>
      </w:r>
    </w:p>
    <w:p w14:paraId="7EA0C935" w14:textId="77777777" w:rsidR="000343BE" w:rsidRPr="004B7B3A" w:rsidRDefault="000343BE" w:rsidP="000343BE">
      <w:pPr>
        <w:tabs>
          <w:tab w:val="left" w:pos="3119"/>
          <w:tab w:val="left" w:pos="5387"/>
        </w:tabs>
        <w:jc w:val="both"/>
        <w:rPr>
          <w:rFonts w:cs="Arial"/>
          <w:szCs w:val="22"/>
        </w:rPr>
      </w:pPr>
    </w:p>
    <w:p w14:paraId="7953E837" w14:textId="77777777" w:rsidR="00ED661A" w:rsidRPr="004B7B3A" w:rsidRDefault="00ED661A" w:rsidP="000343BE">
      <w:pPr>
        <w:tabs>
          <w:tab w:val="left" w:pos="3119"/>
          <w:tab w:val="left" w:pos="5387"/>
        </w:tabs>
        <w:jc w:val="both"/>
        <w:rPr>
          <w:rFonts w:cs="Arial"/>
          <w:b/>
          <w:szCs w:val="22"/>
        </w:rPr>
      </w:pPr>
      <w:r>
        <w:rPr>
          <w:b/>
        </w:rPr>
        <w:t>The above-named product is a:</w:t>
      </w:r>
    </w:p>
    <w:p w14:paraId="230090D3" w14:textId="77777777" w:rsidR="00ED661A" w:rsidRPr="004B7B3A" w:rsidRDefault="00ED661A" w:rsidP="000343BE">
      <w:pPr>
        <w:tabs>
          <w:tab w:val="left" w:pos="3119"/>
          <w:tab w:val="left" w:pos="5387"/>
        </w:tabs>
        <w:jc w:val="both"/>
        <w:rPr>
          <w:rFonts w:cs="Arial"/>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72"/>
        <w:gridCol w:w="709"/>
        <w:gridCol w:w="3531"/>
        <w:gridCol w:w="438"/>
      </w:tblGrid>
      <w:tr w:rsidR="00020130" w:rsidRPr="004B7B3A" w14:paraId="79AEA6BF" w14:textId="77777777" w:rsidTr="00020130">
        <w:tc>
          <w:tcPr>
            <w:tcW w:w="3572" w:type="dxa"/>
          </w:tcPr>
          <w:p w14:paraId="67C0B874" w14:textId="77777777" w:rsidR="00ED661A" w:rsidRPr="004B7B3A" w:rsidRDefault="00020130" w:rsidP="00677777">
            <w:pPr>
              <w:rPr>
                <w:rFonts w:cs="Arial"/>
                <w:szCs w:val="22"/>
              </w:rPr>
            </w:pPr>
            <w:r>
              <w:t>Coating</w:t>
            </w:r>
          </w:p>
        </w:tc>
        <w:tc>
          <w:tcPr>
            <w:tcW w:w="709" w:type="dxa"/>
          </w:tcPr>
          <w:p w14:paraId="6771371E" w14:textId="465077B2" w:rsidR="00ED661A" w:rsidRPr="004B7B3A" w:rsidRDefault="00ED661A" w:rsidP="00677777">
            <w:pPr>
              <w:rPr>
                <w:rFonts w:cs="Arial"/>
                <w:szCs w:val="22"/>
              </w:rPr>
            </w:pPr>
            <w:r w:rsidRPr="004B7B3A">
              <w:rPr>
                <w:rFonts w:cs="Arial"/>
              </w:rPr>
              <w:fldChar w:fldCharType="begin">
                <w:ffData>
                  <w:name w:val="Kontrollkästchen72"/>
                  <w:enabled/>
                  <w:calcOnExit w:val="0"/>
                  <w:checkBox>
                    <w:sizeAuto/>
                    <w:default w:val="0"/>
                    <w:checked w:val="0"/>
                  </w:checkBox>
                </w:ffData>
              </w:fldChar>
            </w:r>
            <w:bookmarkStart w:id="1" w:name="Kontrollkästchen72"/>
            <w:r w:rsidRPr="004B7B3A">
              <w:rPr>
                <w:rFonts w:cs="Arial"/>
              </w:rPr>
              <w:instrText xml:space="preserve"> FORMCHECKBOX </w:instrText>
            </w:r>
            <w:r w:rsidR="007B7C24" w:rsidRPr="004B7B3A">
              <w:rPr>
                <w:rFonts w:cs="Arial"/>
              </w:rPr>
            </w:r>
            <w:r w:rsidR="007B7C24">
              <w:rPr>
                <w:rFonts w:cs="Arial"/>
              </w:rPr>
              <w:fldChar w:fldCharType="separate"/>
            </w:r>
            <w:r w:rsidRPr="004B7B3A">
              <w:rPr>
                <w:rFonts w:cs="Arial"/>
              </w:rPr>
              <w:fldChar w:fldCharType="end"/>
            </w:r>
            <w:bookmarkEnd w:id="1"/>
          </w:p>
        </w:tc>
        <w:tc>
          <w:tcPr>
            <w:tcW w:w="3531" w:type="dxa"/>
          </w:tcPr>
          <w:p w14:paraId="7D5C7933" w14:textId="77777777" w:rsidR="00ED661A" w:rsidRPr="004B7B3A" w:rsidRDefault="00020130" w:rsidP="00677777">
            <w:pPr>
              <w:rPr>
                <w:rFonts w:cs="Arial"/>
                <w:szCs w:val="22"/>
              </w:rPr>
            </w:pPr>
            <w:r>
              <w:t>Ultrasonic system</w:t>
            </w:r>
          </w:p>
        </w:tc>
        <w:tc>
          <w:tcPr>
            <w:tcW w:w="438" w:type="dxa"/>
          </w:tcPr>
          <w:p w14:paraId="5FA28AAB" w14:textId="77777777" w:rsidR="00ED661A" w:rsidRPr="004B7B3A" w:rsidRDefault="00ED661A" w:rsidP="00677777">
            <w:pPr>
              <w:rPr>
                <w:rFonts w:cs="Arial"/>
                <w:szCs w:val="22"/>
              </w:rPr>
            </w:pPr>
            <w:r w:rsidRPr="004B7B3A">
              <w:rPr>
                <w:rFonts w:cs="Arial"/>
              </w:rPr>
              <w:fldChar w:fldCharType="begin">
                <w:ffData>
                  <w:name w:val="Kontrollkästchen75"/>
                  <w:enabled/>
                  <w:calcOnExit w:val="0"/>
                  <w:checkBox>
                    <w:sizeAuto/>
                    <w:default w:val="0"/>
                  </w:checkBox>
                </w:ffData>
              </w:fldChar>
            </w:r>
            <w:bookmarkStart w:id="2" w:name="Kontrollkästchen75"/>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bookmarkEnd w:id="2"/>
          </w:p>
        </w:tc>
      </w:tr>
      <w:tr w:rsidR="00020130" w:rsidRPr="004B7B3A" w14:paraId="75E3026B" w14:textId="77777777" w:rsidTr="00020130">
        <w:tc>
          <w:tcPr>
            <w:tcW w:w="3572" w:type="dxa"/>
          </w:tcPr>
          <w:p w14:paraId="3C3FEB6B" w14:textId="77777777" w:rsidR="00ED661A" w:rsidRPr="004B7B3A" w:rsidRDefault="00020130" w:rsidP="00677777">
            <w:pPr>
              <w:rPr>
                <w:rFonts w:cs="Arial"/>
                <w:szCs w:val="22"/>
              </w:rPr>
            </w:pPr>
            <w:r>
              <w:t>Adhesive film</w:t>
            </w:r>
          </w:p>
        </w:tc>
        <w:tc>
          <w:tcPr>
            <w:tcW w:w="709" w:type="dxa"/>
          </w:tcPr>
          <w:p w14:paraId="7B372F6D" w14:textId="77777777" w:rsidR="00ED661A" w:rsidRPr="004B7B3A" w:rsidRDefault="00ED661A" w:rsidP="00677777">
            <w:pPr>
              <w:rPr>
                <w:rFonts w:cs="Arial"/>
                <w:szCs w:val="22"/>
              </w:rPr>
            </w:pPr>
            <w:r w:rsidRPr="004B7B3A">
              <w:rPr>
                <w:rFonts w:cs="Arial"/>
              </w:rPr>
              <w:fldChar w:fldCharType="begin">
                <w:ffData>
                  <w:name w:val="Kontrollkästchen78"/>
                  <w:enabled/>
                  <w:calcOnExit w:val="0"/>
                  <w:checkBox>
                    <w:sizeAuto/>
                    <w:default w:val="0"/>
                  </w:checkBox>
                </w:ffData>
              </w:fldChar>
            </w:r>
            <w:bookmarkStart w:id="3" w:name="Kontrollkästchen78"/>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bookmarkEnd w:id="3"/>
          </w:p>
        </w:tc>
        <w:tc>
          <w:tcPr>
            <w:tcW w:w="3531" w:type="dxa"/>
          </w:tcPr>
          <w:p w14:paraId="0F235459" w14:textId="77777777" w:rsidR="00ED661A" w:rsidRPr="004B7B3A" w:rsidRDefault="00020130" w:rsidP="00677777">
            <w:pPr>
              <w:rPr>
                <w:rFonts w:cs="Arial"/>
                <w:szCs w:val="22"/>
              </w:rPr>
            </w:pPr>
            <w:r>
              <w:t>Boat lifting system</w:t>
            </w:r>
          </w:p>
        </w:tc>
        <w:tc>
          <w:tcPr>
            <w:tcW w:w="438" w:type="dxa"/>
          </w:tcPr>
          <w:p w14:paraId="59679599" w14:textId="77777777" w:rsidR="00ED661A" w:rsidRPr="004B7B3A" w:rsidRDefault="00ED661A" w:rsidP="00677777">
            <w:pPr>
              <w:rPr>
                <w:rFonts w:cs="Arial"/>
                <w:szCs w:val="22"/>
              </w:rPr>
            </w:pPr>
            <w:r w:rsidRPr="004B7B3A">
              <w:rPr>
                <w:rFonts w:cs="Arial"/>
              </w:rPr>
              <w:fldChar w:fldCharType="begin">
                <w:ffData>
                  <w:name w:val="Kontrollkästchen76"/>
                  <w:enabled/>
                  <w:calcOnExit w:val="0"/>
                  <w:checkBox>
                    <w:sizeAuto/>
                    <w:default w:val="0"/>
                  </w:checkBox>
                </w:ffData>
              </w:fldChar>
            </w:r>
            <w:bookmarkStart w:id="4" w:name="Kontrollkästchen76"/>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bookmarkEnd w:id="4"/>
          </w:p>
        </w:tc>
      </w:tr>
      <w:tr w:rsidR="00020130" w:rsidRPr="004B7B3A" w14:paraId="2E6D71BB" w14:textId="77777777" w:rsidTr="00020130">
        <w:tc>
          <w:tcPr>
            <w:tcW w:w="3572" w:type="dxa"/>
          </w:tcPr>
          <w:p w14:paraId="20E0BC08" w14:textId="77777777" w:rsidR="00ED661A" w:rsidRPr="004B7B3A" w:rsidRDefault="00020130" w:rsidP="00677777">
            <w:pPr>
              <w:rPr>
                <w:rFonts w:cs="Arial"/>
                <w:szCs w:val="22"/>
              </w:rPr>
            </w:pPr>
            <w:r>
              <w:t>Cleanable hard coating</w:t>
            </w:r>
          </w:p>
        </w:tc>
        <w:tc>
          <w:tcPr>
            <w:tcW w:w="709" w:type="dxa"/>
          </w:tcPr>
          <w:p w14:paraId="689A4DCE" w14:textId="77777777" w:rsidR="00ED661A" w:rsidRPr="004B7B3A" w:rsidRDefault="00ED661A" w:rsidP="00677777">
            <w:pPr>
              <w:rPr>
                <w:rFonts w:cs="Arial"/>
                <w:szCs w:val="22"/>
              </w:rPr>
            </w:pPr>
            <w:r w:rsidRPr="004B7B3A">
              <w:rPr>
                <w:rFonts w:cs="Arial"/>
              </w:rPr>
              <w:fldChar w:fldCharType="begin">
                <w:ffData>
                  <w:name w:val="Kontrollkästchen90"/>
                  <w:enabled/>
                  <w:calcOnExit w:val="0"/>
                  <w:checkBox>
                    <w:sizeAuto/>
                    <w:default w:val="0"/>
                  </w:checkBox>
                </w:ffData>
              </w:fldChar>
            </w:r>
            <w:bookmarkStart w:id="5" w:name="Kontrollkästchen90"/>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bookmarkEnd w:id="5"/>
          </w:p>
        </w:tc>
        <w:tc>
          <w:tcPr>
            <w:tcW w:w="3531" w:type="dxa"/>
          </w:tcPr>
          <w:p w14:paraId="02A7BBF2" w14:textId="77777777" w:rsidR="00ED661A" w:rsidRPr="004B7B3A" w:rsidRDefault="00020130" w:rsidP="00677777">
            <w:pPr>
              <w:rPr>
                <w:rFonts w:cs="Arial"/>
                <w:szCs w:val="22"/>
              </w:rPr>
            </w:pPr>
            <w:r>
              <w:t>Mobile ship cleaning equipment</w:t>
            </w:r>
          </w:p>
        </w:tc>
        <w:tc>
          <w:tcPr>
            <w:tcW w:w="438" w:type="dxa"/>
          </w:tcPr>
          <w:p w14:paraId="77E1D9CC" w14:textId="77777777" w:rsidR="00ED661A" w:rsidRPr="004B7B3A" w:rsidRDefault="00ED661A" w:rsidP="00677777">
            <w:pPr>
              <w:rPr>
                <w:rFonts w:cs="Arial"/>
                <w:szCs w:val="22"/>
              </w:rPr>
            </w:pPr>
            <w:r w:rsidRPr="004B7B3A">
              <w:rPr>
                <w:rFonts w:cs="Arial"/>
              </w:rPr>
              <w:fldChar w:fldCharType="begin">
                <w:ffData>
                  <w:name w:val="Kontrollkästchen79"/>
                  <w:enabled/>
                  <w:calcOnExit w:val="0"/>
                  <w:checkBox>
                    <w:sizeAuto/>
                    <w:default w:val="0"/>
                  </w:checkBox>
                </w:ffData>
              </w:fldChar>
            </w:r>
            <w:bookmarkStart w:id="6" w:name="Kontrollkästchen79"/>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bookmarkEnd w:id="6"/>
          </w:p>
        </w:tc>
      </w:tr>
      <w:tr w:rsidR="00020130" w:rsidRPr="004B7B3A" w14:paraId="01ECCBB8" w14:textId="77777777" w:rsidTr="00020130">
        <w:tc>
          <w:tcPr>
            <w:tcW w:w="3572" w:type="dxa"/>
          </w:tcPr>
          <w:p w14:paraId="37B0DED6" w14:textId="77777777" w:rsidR="00ED661A" w:rsidRPr="004B7B3A" w:rsidRDefault="00020130" w:rsidP="00677777">
            <w:pPr>
              <w:rPr>
                <w:rFonts w:cs="Arial"/>
                <w:szCs w:val="22"/>
              </w:rPr>
            </w:pPr>
            <w:r>
              <w:t>Electrical process with a special coating structure</w:t>
            </w:r>
          </w:p>
        </w:tc>
        <w:tc>
          <w:tcPr>
            <w:tcW w:w="709" w:type="dxa"/>
          </w:tcPr>
          <w:p w14:paraId="176191A9" w14:textId="77777777" w:rsidR="00ED661A" w:rsidRPr="004B7B3A" w:rsidRDefault="00ED661A" w:rsidP="00677777">
            <w:pPr>
              <w:rPr>
                <w:rFonts w:cs="Arial"/>
                <w:szCs w:val="22"/>
              </w:rPr>
            </w:pPr>
            <w:r w:rsidRPr="004B7B3A">
              <w:rPr>
                <w:rFonts w:cs="Arial"/>
              </w:rPr>
              <w:fldChar w:fldCharType="begin">
                <w:ffData>
                  <w:name w:val="Kontrollkästchen90"/>
                  <w:enabled/>
                  <w:calcOnExit w:val="0"/>
                  <w:checkBox>
                    <w:sizeAuto/>
                    <w:default w:val="0"/>
                  </w:checkBox>
                </w:ffData>
              </w:fldChar>
            </w:r>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p>
        </w:tc>
        <w:tc>
          <w:tcPr>
            <w:tcW w:w="3531" w:type="dxa"/>
          </w:tcPr>
          <w:p w14:paraId="151DB2AD" w14:textId="77777777" w:rsidR="00ED661A" w:rsidRPr="004B7B3A" w:rsidRDefault="00020130" w:rsidP="00677777">
            <w:pPr>
              <w:rPr>
                <w:rFonts w:cs="Arial"/>
                <w:szCs w:val="22"/>
              </w:rPr>
            </w:pPr>
            <w:r>
              <w:t>Stationary ship cleaning equipment</w:t>
            </w:r>
          </w:p>
        </w:tc>
        <w:tc>
          <w:tcPr>
            <w:tcW w:w="438" w:type="dxa"/>
          </w:tcPr>
          <w:p w14:paraId="2F5C45C1" w14:textId="77777777" w:rsidR="00ED661A" w:rsidRPr="004B7B3A" w:rsidRDefault="00020130" w:rsidP="00677777">
            <w:pPr>
              <w:rPr>
                <w:rFonts w:cs="Arial"/>
                <w:szCs w:val="22"/>
              </w:rPr>
            </w:pPr>
            <w:r w:rsidRPr="004B7B3A">
              <w:rPr>
                <w:rFonts w:cs="Arial"/>
              </w:rPr>
              <w:fldChar w:fldCharType="begin">
                <w:ffData>
                  <w:name w:val="Kontrollkästchen90"/>
                  <w:enabled/>
                  <w:calcOnExit w:val="0"/>
                  <w:checkBox>
                    <w:sizeAuto/>
                    <w:default w:val="0"/>
                  </w:checkBox>
                </w:ffData>
              </w:fldChar>
            </w:r>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p>
        </w:tc>
      </w:tr>
      <w:tr w:rsidR="00020130" w:rsidRPr="004B7B3A" w14:paraId="73D7ED5C" w14:textId="77777777" w:rsidTr="00020130">
        <w:tc>
          <w:tcPr>
            <w:tcW w:w="3572" w:type="dxa"/>
          </w:tcPr>
          <w:p w14:paraId="744FF3B5" w14:textId="77777777" w:rsidR="00020130" w:rsidRPr="004B7B3A" w:rsidRDefault="00020130" w:rsidP="00677777">
            <w:pPr>
              <w:rPr>
                <w:rFonts w:cs="Arial"/>
                <w:szCs w:val="22"/>
              </w:rPr>
            </w:pPr>
            <w:r>
              <w:t>Underwater tarpaulin</w:t>
            </w:r>
          </w:p>
        </w:tc>
        <w:tc>
          <w:tcPr>
            <w:tcW w:w="709" w:type="dxa"/>
          </w:tcPr>
          <w:p w14:paraId="3A456ADB" w14:textId="77777777" w:rsidR="00020130" w:rsidRPr="004B7B3A" w:rsidRDefault="00020130" w:rsidP="00677777">
            <w:pPr>
              <w:rPr>
                <w:rFonts w:cs="Arial"/>
                <w:szCs w:val="22"/>
              </w:rPr>
            </w:pPr>
            <w:r w:rsidRPr="004B7B3A">
              <w:rPr>
                <w:rFonts w:cs="Arial"/>
              </w:rPr>
              <w:fldChar w:fldCharType="begin">
                <w:ffData>
                  <w:name w:val="Kontrollkästchen90"/>
                  <w:enabled/>
                  <w:calcOnExit w:val="0"/>
                  <w:checkBox>
                    <w:sizeAuto/>
                    <w:default w:val="0"/>
                  </w:checkBox>
                </w:ffData>
              </w:fldChar>
            </w:r>
            <w:r w:rsidRPr="004B7B3A">
              <w:rPr>
                <w:rFonts w:cs="Arial"/>
              </w:rPr>
              <w:instrText xml:space="preserve"> FORMCHECKBOX </w:instrText>
            </w:r>
            <w:r w:rsidR="007B7C24">
              <w:rPr>
                <w:rFonts w:cs="Arial"/>
              </w:rPr>
            </w:r>
            <w:r w:rsidR="007B7C24">
              <w:rPr>
                <w:rFonts w:cs="Arial"/>
              </w:rPr>
              <w:fldChar w:fldCharType="separate"/>
            </w:r>
            <w:r w:rsidRPr="004B7B3A">
              <w:rPr>
                <w:rFonts w:cs="Arial"/>
              </w:rPr>
              <w:fldChar w:fldCharType="end"/>
            </w:r>
          </w:p>
        </w:tc>
        <w:tc>
          <w:tcPr>
            <w:tcW w:w="3531" w:type="dxa"/>
          </w:tcPr>
          <w:p w14:paraId="142126F5" w14:textId="77777777" w:rsidR="00020130" w:rsidRPr="004B7B3A" w:rsidRDefault="00020130" w:rsidP="00677777">
            <w:pPr>
              <w:rPr>
                <w:rFonts w:cs="Arial"/>
                <w:szCs w:val="22"/>
              </w:rPr>
            </w:pPr>
          </w:p>
        </w:tc>
        <w:tc>
          <w:tcPr>
            <w:tcW w:w="438" w:type="dxa"/>
          </w:tcPr>
          <w:p w14:paraId="56E03ED9" w14:textId="77777777" w:rsidR="00020130" w:rsidRPr="004B7B3A" w:rsidRDefault="00020130" w:rsidP="00677777">
            <w:pPr>
              <w:rPr>
                <w:rFonts w:cs="Arial"/>
                <w:szCs w:val="22"/>
              </w:rPr>
            </w:pPr>
          </w:p>
        </w:tc>
      </w:tr>
    </w:tbl>
    <w:p w14:paraId="3DB9DD28" w14:textId="77777777" w:rsidR="00ED661A" w:rsidRPr="004B7B3A" w:rsidRDefault="00ED661A" w:rsidP="000343BE">
      <w:pPr>
        <w:tabs>
          <w:tab w:val="left" w:pos="3119"/>
          <w:tab w:val="left" w:pos="5387"/>
        </w:tabs>
        <w:jc w:val="both"/>
        <w:rPr>
          <w:rFonts w:cs="Arial"/>
          <w:szCs w:val="22"/>
        </w:rPr>
      </w:pPr>
    </w:p>
    <w:p w14:paraId="1E660F64" w14:textId="77777777" w:rsidR="000343BE" w:rsidRPr="004B7B3A" w:rsidRDefault="000343BE" w:rsidP="000343BE">
      <w:pPr>
        <w:tabs>
          <w:tab w:val="left" w:pos="5387"/>
        </w:tabs>
        <w:jc w:val="both"/>
        <w:rPr>
          <w:rFonts w:cs="Arial"/>
          <w:szCs w:val="22"/>
        </w:rPr>
      </w:pPr>
    </w:p>
    <w:p w14:paraId="4C692A39" w14:textId="77777777" w:rsidR="00A65824" w:rsidRDefault="00A65824" w:rsidP="000343BE">
      <w:pPr>
        <w:jc w:val="both"/>
        <w:rPr>
          <w:rFonts w:cs="Arial"/>
          <w:b/>
          <w:szCs w:val="22"/>
          <w:u w:val="single"/>
        </w:rPr>
      </w:pPr>
    </w:p>
    <w:p w14:paraId="79859DB4" w14:textId="77777777" w:rsidR="000343BE" w:rsidRPr="004B7B3A" w:rsidRDefault="000343BE" w:rsidP="000343BE">
      <w:pPr>
        <w:jc w:val="both"/>
        <w:rPr>
          <w:rFonts w:cs="Arial"/>
          <w:b/>
          <w:szCs w:val="22"/>
          <w:u w:val="single"/>
        </w:rPr>
      </w:pPr>
      <w:r>
        <w:rPr>
          <w:b/>
          <w:u w:val="single"/>
        </w:rPr>
        <w:lastRenderedPageBreak/>
        <w:t>Declarations by the applicant</w:t>
      </w:r>
    </w:p>
    <w:p w14:paraId="15FFE9CB" w14:textId="77777777" w:rsidR="000343BE" w:rsidRPr="004B7B3A" w:rsidRDefault="000343BE" w:rsidP="000343BE">
      <w:pPr>
        <w:jc w:val="both"/>
        <w:rPr>
          <w:rFonts w:cs="Arial"/>
          <w:szCs w:val="22"/>
        </w:rPr>
      </w:pPr>
    </w:p>
    <w:p w14:paraId="15B8DDB3" w14:textId="7BAD857A" w:rsidR="000343BE" w:rsidRPr="004B7B3A" w:rsidRDefault="00374D34" w:rsidP="000343BE">
      <w:pPr>
        <w:jc w:val="both"/>
        <w:rPr>
          <w:rFonts w:cs="Arial"/>
          <w:szCs w:val="22"/>
        </w:rPr>
      </w:pPr>
      <w:r>
        <w:t xml:space="preserve">We hereby declare compliance with the following requirements                    </w:t>
      </w:r>
      <w:bookmarkStart w:id="7" w:name="_GoBack"/>
      <w:r w:rsidR="00545E48" w:rsidRPr="004B7B3A">
        <w:rPr>
          <w:rFonts w:cs="Arial"/>
        </w:rPr>
        <w:fldChar w:fldCharType="begin">
          <w:ffData>
            <w:name w:val="Kontrollkästchen79"/>
            <w:enabled/>
            <w:calcOnExit w:val="0"/>
            <w:checkBox>
              <w:sizeAuto/>
              <w:default w:val="0"/>
              <w:checked w:val="0"/>
            </w:checkBox>
          </w:ffData>
        </w:fldChar>
      </w:r>
      <w:r w:rsidR="00545E48" w:rsidRPr="004B7B3A">
        <w:rPr>
          <w:rFonts w:cs="Arial"/>
        </w:rPr>
        <w:instrText xml:space="preserve"> FORMCHECKBOX </w:instrText>
      </w:r>
      <w:r w:rsidR="007B7C24" w:rsidRPr="004B7B3A">
        <w:rPr>
          <w:rFonts w:cs="Arial"/>
        </w:rPr>
      </w:r>
      <w:r w:rsidR="007B7C24">
        <w:rPr>
          <w:rFonts w:cs="Arial"/>
        </w:rPr>
        <w:fldChar w:fldCharType="separate"/>
      </w:r>
      <w:r w:rsidR="00545E48" w:rsidRPr="004B7B3A">
        <w:rPr>
          <w:rFonts w:cs="Arial"/>
        </w:rPr>
        <w:fldChar w:fldCharType="end"/>
      </w:r>
      <w:bookmarkEnd w:id="7"/>
    </w:p>
    <w:p w14:paraId="701DE468" w14:textId="77777777" w:rsidR="00374D34" w:rsidRPr="004B7B3A" w:rsidRDefault="00374D34" w:rsidP="000343BE">
      <w:pPr>
        <w:jc w:val="both"/>
        <w:rPr>
          <w:rFonts w:cs="Arial"/>
          <w:szCs w:val="22"/>
        </w:rPr>
      </w:pPr>
    </w:p>
    <w:tbl>
      <w:tblPr>
        <w:tblStyle w:val="Tabellenraster"/>
        <w:tblW w:w="14596" w:type="dxa"/>
        <w:tblCellMar>
          <w:top w:w="28" w:type="dxa"/>
        </w:tblCellMar>
        <w:tblLook w:val="04A0" w:firstRow="1" w:lastRow="0" w:firstColumn="1" w:lastColumn="0" w:noHBand="0" w:noVBand="1"/>
      </w:tblPr>
      <w:tblGrid>
        <w:gridCol w:w="1206"/>
        <w:gridCol w:w="3660"/>
        <w:gridCol w:w="9730"/>
      </w:tblGrid>
      <w:tr w:rsidR="00804FA5" w:rsidRPr="002734B9" w14:paraId="1758BFDC" w14:textId="77777777" w:rsidTr="00101D4D">
        <w:trPr>
          <w:trHeight w:val="283"/>
        </w:trPr>
        <w:tc>
          <w:tcPr>
            <w:tcW w:w="1139" w:type="dxa"/>
            <w:shd w:val="clear" w:color="auto" w:fill="D9D9D9" w:themeFill="background1" w:themeFillShade="D9"/>
            <w:vAlign w:val="center"/>
          </w:tcPr>
          <w:p w14:paraId="45D05574" w14:textId="77777777" w:rsidR="00804FA5" w:rsidRPr="002734B9" w:rsidRDefault="00804FA5" w:rsidP="002734B9">
            <w:pPr>
              <w:spacing w:line="276" w:lineRule="auto"/>
              <w:jc w:val="center"/>
              <w:rPr>
                <w:rFonts w:cs="Arial"/>
                <w:b/>
                <w:sz w:val="20"/>
              </w:rPr>
            </w:pPr>
            <w:r>
              <w:rPr>
                <w:b/>
                <w:sz w:val="20"/>
              </w:rPr>
              <w:t>Paragraph</w:t>
            </w:r>
          </w:p>
        </w:tc>
        <w:tc>
          <w:tcPr>
            <w:tcW w:w="3676" w:type="dxa"/>
            <w:shd w:val="clear" w:color="auto" w:fill="D9D9D9" w:themeFill="background1" w:themeFillShade="D9"/>
            <w:vAlign w:val="center"/>
          </w:tcPr>
          <w:p w14:paraId="646B1DBA" w14:textId="77777777" w:rsidR="00804FA5" w:rsidRPr="002734B9" w:rsidRDefault="00804FA5" w:rsidP="002734B9">
            <w:pPr>
              <w:spacing w:line="276" w:lineRule="auto"/>
              <w:jc w:val="center"/>
              <w:rPr>
                <w:rFonts w:cs="Arial"/>
                <w:b/>
                <w:sz w:val="20"/>
              </w:rPr>
            </w:pPr>
            <w:r>
              <w:rPr>
                <w:b/>
                <w:sz w:val="20"/>
              </w:rPr>
              <w:t>Applies to</w:t>
            </w:r>
          </w:p>
        </w:tc>
        <w:tc>
          <w:tcPr>
            <w:tcW w:w="9781" w:type="dxa"/>
            <w:shd w:val="clear" w:color="auto" w:fill="D9D9D9" w:themeFill="background1" w:themeFillShade="D9"/>
            <w:vAlign w:val="center"/>
          </w:tcPr>
          <w:p w14:paraId="7C60598F" w14:textId="77777777" w:rsidR="00804FA5" w:rsidRPr="002734B9" w:rsidRDefault="00804FA5" w:rsidP="002734B9">
            <w:pPr>
              <w:spacing w:line="276" w:lineRule="auto"/>
              <w:jc w:val="center"/>
              <w:rPr>
                <w:rFonts w:cs="Arial"/>
                <w:b/>
                <w:sz w:val="20"/>
                <w:highlight w:val="yellow"/>
              </w:rPr>
            </w:pPr>
            <w:r>
              <w:rPr>
                <w:b/>
                <w:sz w:val="20"/>
              </w:rPr>
              <w:t>Requirement</w:t>
            </w:r>
          </w:p>
        </w:tc>
      </w:tr>
      <w:tr w:rsidR="002734B9" w:rsidRPr="002734B9" w14:paraId="2DAD2455" w14:textId="77777777" w:rsidTr="001F48BE">
        <w:trPr>
          <w:trHeight w:val="283"/>
        </w:trPr>
        <w:tc>
          <w:tcPr>
            <w:tcW w:w="1139" w:type="dxa"/>
            <w:shd w:val="clear" w:color="auto" w:fill="F2F2F2" w:themeFill="background1" w:themeFillShade="F2"/>
          </w:tcPr>
          <w:p w14:paraId="42C5069B" w14:textId="77777777" w:rsidR="002734B9" w:rsidRPr="002734B9" w:rsidRDefault="002734B9" w:rsidP="00EA1340">
            <w:pPr>
              <w:spacing w:line="276" w:lineRule="auto"/>
              <w:jc w:val="both"/>
              <w:rPr>
                <w:rFonts w:cs="Arial"/>
                <w:b/>
                <w:sz w:val="20"/>
              </w:rPr>
            </w:pPr>
            <w:r>
              <w:rPr>
                <w:b/>
                <w:sz w:val="20"/>
              </w:rPr>
              <w:t>3.1.1</w:t>
            </w:r>
          </w:p>
        </w:tc>
        <w:tc>
          <w:tcPr>
            <w:tcW w:w="13457" w:type="dxa"/>
            <w:gridSpan w:val="2"/>
            <w:shd w:val="clear" w:color="auto" w:fill="F2F2F2" w:themeFill="background1" w:themeFillShade="F2"/>
          </w:tcPr>
          <w:p w14:paraId="1B9B3E2E" w14:textId="77777777" w:rsidR="002734B9" w:rsidRPr="002734B9" w:rsidRDefault="002734B9" w:rsidP="00EA1340">
            <w:pPr>
              <w:spacing w:line="276" w:lineRule="auto"/>
              <w:rPr>
                <w:rFonts w:cs="Arial"/>
                <w:b/>
                <w:sz w:val="20"/>
              </w:rPr>
            </w:pPr>
            <w:r>
              <w:rPr>
                <w:b/>
                <w:sz w:val="20"/>
              </w:rPr>
              <w:t>General requirements</w:t>
            </w:r>
          </w:p>
        </w:tc>
      </w:tr>
      <w:tr w:rsidR="00804FA5" w:rsidRPr="002734B9" w14:paraId="3F45D130" w14:textId="77777777" w:rsidTr="00101D4D">
        <w:trPr>
          <w:trHeight w:val="283"/>
        </w:trPr>
        <w:tc>
          <w:tcPr>
            <w:tcW w:w="1139" w:type="dxa"/>
          </w:tcPr>
          <w:p w14:paraId="66579E81" w14:textId="77777777" w:rsidR="00804FA5" w:rsidRPr="002734B9" w:rsidRDefault="00804FA5" w:rsidP="00EA1340">
            <w:pPr>
              <w:spacing w:line="276" w:lineRule="auto"/>
              <w:jc w:val="both"/>
              <w:rPr>
                <w:rFonts w:cs="Arial"/>
                <w:sz w:val="20"/>
              </w:rPr>
            </w:pPr>
          </w:p>
        </w:tc>
        <w:tc>
          <w:tcPr>
            <w:tcW w:w="3676" w:type="dxa"/>
          </w:tcPr>
          <w:p w14:paraId="4A689B98" w14:textId="77777777" w:rsidR="00804FA5" w:rsidRPr="002734B9" w:rsidRDefault="00804FA5" w:rsidP="00EA1340">
            <w:pPr>
              <w:spacing w:line="276" w:lineRule="auto"/>
              <w:rPr>
                <w:rFonts w:cs="Arial"/>
                <w:sz w:val="20"/>
              </w:rPr>
            </w:pPr>
            <w:r>
              <w:rPr>
                <w:sz w:val="20"/>
              </w:rPr>
              <w:t>ALL</w:t>
            </w:r>
          </w:p>
        </w:tc>
        <w:tc>
          <w:tcPr>
            <w:tcW w:w="9781" w:type="dxa"/>
          </w:tcPr>
          <w:p w14:paraId="2A26032B" w14:textId="77777777" w:rsidR="004F5CCD" w:rsidRPr="0051049E" w:rsidRDefault="004F5CCD" w:rsidP="004F5CCD">
            <w:pPr>
              <w:rPr>
                <w:rFonts w:cs="Arial"/>
                <w:sz w:val="20"/>
              </w:rPr>
            </w:pPr>
            <w:r>
              <w:rPr>
                <w:sz w:val="20"/>
              </w:rPr>
              <w:t>The ready-to-use product and the primary products may not contain any substances with the following properties in a concentration &gt; 0.1 % by mass:</w:t>
            </w:r>
          </w:p>
          <w:p w14:paraId="0F544025" w14:textId="77777777" w:rsidR="004F5CCD" w:rsidRPr="0051049E" w:rsidRDefault="004F5CCD" w:rsidP="004F5CCD">
            <w:pPr>
              <w:rPr>
                <w:rFonts w:cs="Arial"/>
                <w:sz w:val="20"/>
              </w:rPr>
            </w:pPr>
          </w:p>
          <w:p w14:paraId="2E2D95C6" w14:textId="77777777" w:rsidR="004F5CCD" w:rsidRPr="0051049E" w:rsidRDefault="004F5CCD" w:rsidP="004F5CCD">
            <w:pPr>
              <w:rPr>
                <w:rFonts w:cs="Arial"/>
                <w:sz w:val="20"/>
              </w:rPr>
            </w:pPr>
            <w:r>
              <w:rPr>
                <w:sz w:val="20"/>
              </w:rPr>
              <w:t>1. Substances which are identified as particularly alarming under the REACH Regulation and which have been incorporated into the list drawn up in accordance with Article 59, Paragraph 1 of the REACH Regulation (so-called “list of candidates”</w:t>
            </w:r>
            <w:r w:rsidRPr="0051049E">
              <w:rPr>
                <w:rStyle w:val="Funotenzeichen"/>
                <w:rFonts w:cs="Arial"/>
                <w:sz w:val="20"/>
              </w:rPr>
              <w:footnoteReference w:id="1"/>
            </w:r>
            <w:r>
              <w:rPr>
                <w:sz w:val="20"/>
              </w:rPr>
              <w:t>).</w:t>
            </w:r>
          </w:p>
          <w:p w14:paraId="25D7879A" w14:textId="77777777" w:rsidR="004F5CCD" w:rsidRPr="0051049E" w:rsidRDefault="004F5CCD" w:rsidP="004F5CCD">
            <w:pPr>
              <w:rPr>
                <w:rFonts w:cs="Arial"/>
                <w:sz w:val="20"/>
              </w:rPr>
            </w:pPr>
          </w:p>
          <w:p w14:paraId="5879DB09" w14:textId="77777777" w:rsidR="004F5CCD" w:rsidRPr="0051049E" w:rsidRDefault="004F5CCD" w:rsidP="004F5CCD">
            <w:pPr>
              <w:rPr>
                <w:rFonts w:cs="Arial"/>
                <w:sz w:val="20"/>
              </w:rPr>
            </w:pPr>
            <w:r>
              <w:rPr>
                <w:sz w:val="20"/>
              </w:rPr>
              <w:t>2. Substances that according to the CLP Regulation have been classified in the following hazard categories or which meet the criteria for such classification</w:t>
            </w:r>
            <w:r w:rsidRPr="0051049E">
              <w:rPr>
                <w:rStyle w:val="Funotenzeichen"/>
                <w:rFonts w:cs="Arial"/>
                <w:sz w:val="20"/>
              </w:rPr>
              <w:footnoteReference w:id="2"/>
            </w:r>
            <w:r>
              <w:rPr>
                <w:sz w:val="20"/>
              </w:rPr>
              <w:t xml:space="preserve">: </w:t>
            </w:r>
          </w:p>
          <w:p w14:paraId="55D4DC08" w14:textId="77777777" w:rsidR="004F5CCD" w:rsidRPr="0051049E" w:rsidRDefault="004F5CCD" w:rsidP="004F5CCD">
            <w:pPr>
              <w:pStyle w:val="AufzhlungPunkt1"/>
              <w:rPr>
                <w:rFonts w:ascii="Arial" w:hAnsi="Arial" w:cs="Arial"/>
              </w:rPr>
            </w:pPr>
            <w:r>
              <w:rPr>
                <w:rFonts w:ascii="Arial" w:hAnsi="Arial"/>
              </w:rPr>
              <w:t xml:space="preserve">carcinogenic in categories </w:t>
            </w:r>
            <w:proofErr w:type="spellStart"/>
            <w:r>
              <w:rPr>
                <w:rFonts w:ascii="Arial" w:hAnsi="Arial"/>
              </w:rPr>
              <w:t>Carc</w:t>
            </w:r>
            <w:proofErr w:type="spellEnd"/>
            <w:r>
              <w:rPr>
                <w:rFonts w:ascii="Arial" w:hAnsi="Arial"/>
              </w:rPr>
              <w:t xml:space="preserve">. 1A or </w:t>
            </w:r>
            <w:proofErr w:type="spellStart"/>
            <w:r>
              <w:rPr>
                <w:rFonts w:ascii="Arial" w:hAnsi="Arial"/>
              </w:rPr>
              <w:t>Carc</w:t>
            </w:r>
            <w:proofErr w:type="spellEnd"/>
            <w:r>
              <w:rPr>
                <w:rFonts w:ascii="Arial" w:hAnsi="Arial"/>
              </w:rPr>
              <w:t xml:space="preserve">. 1B or </w:t>
            </w:r>
            <w:proofErr w:type="spellStart"/>
            <w:r>
              <w:rPr>
                <w:rFonts w:ascii="Arial" w:hAnsi="Arial"/>
              </w:rPr>
              <w:t>Carc</w:t>
            </w:r>
            <w:proofErr w:type="spellEnd"/>
            <w:r>
              <w:rPr>
                <w:rFonts w:ascii="Arial" w:hAnsi="Arial"/>
              </w:rPr>
              <w:t xml:space="preserve">. 2 </w:t>
            </w:r>
          </w:p>
          <w:p w14:paraId="620A1118" w14:textId="77777777" w:rsidR="004F5CCD" w:rsidRPr="0051049E" w:rsidRDefault="004F5CCD" w:rsidP="004F5CCD">
            <w:pPr>
              <w:pStyle w:val="AufzhlungPunkt1"/>
              <w:rPr>
                <w:rFonts w:ascii="Arial" w:hAnsi="Arial" w:cs="Arial"/>
              </w:rPr>
            </w:pPr>
            <w:r>
              <w:rPr>
                <w:rFonts w:ascii="Arial" w:hAnsi="Arial"/>
              </w:rPr>
              <w:t xml:space="preserve">germ cell mutagenic in categories </w:t>
            </w:r>
            <w:proofErr w:type="spellStart"/>
            <w:r>
              <w:rPr>
                <w:rFonts w:ascii="Arial" w:hAnsi="Arial"/>
              </w:rPr>
              <w:t>Muta</w:t>
            </w:r>
            <w:proofErr w:type="spellEnd"/>
            <w:r>
              <w:rPr>
                <w:rFonts w:ascii="Arial" w:hAnsi="Arial"/>
              </w:rPr>
              <w:t xml:space="preserve">. 1A or </w:t>
            </w:r>
            <w:proofErr w:type="spellStart"/>
            <w:r>
              <w:rPr>
                <w:rFonts w:ascii="Arial" w:hAnsi="Arial"/>
              </w:rPr>
              <w:t>Muta</w:t>
            </w:r>
            <w:proofErr w:type="spellEnd"/>
            <w:r>
              <w:rPr>
                <w:rFonts w:ascii="Arial" w:hAnsi="Arial"/>
              </w:rPr>
              <w:t xml:space="preserve">. 1B or </w:t>
            </w:r>
            <w:proofErr w:type="spellStart"/>
            <w:r>
              <w:rPr>
                <w:rFonts w:ascii="Arial" w:hAnsi="Arial"/>
              </w:rPr>
              <w:t>Muta</w:t>
            </w:r>
            <w:proofErr w:type="spellEnd"/>
            <w:r>
              <w:rPr>
                <w:rFonts w:ascii="Arial" w:hAnsi="Arial"/>
              </w:rPr>
              <w:t xml:space="preserve">. 2; </w:t>
            </w:r>
          </w:p>
          <w:p w14:paraId="373EBF07" w14:textId="77777777" w:rsidR="004F5CCD" w:rsidRPr="0051049E" w:rsidRDefault="004F5CCD" w:rsidP="004F5CCD">
            <w:pPr>
              <w:pStyle w:val="AufzhlungPunkt1"/>
              <w:rPr>
                <w:rFonts w:ascii="Arial" w:hAnsi="Arial" w:cs="Arial"/>
              </w:rPr>
            </w:pPr>
            <w:r>
              <w:rPr>
                <w:rFonts w:ascii="Arial" w:hAnsi="Arial"/>
              </w:rPr>
              <w:t xml:space="preserve">reprotoxic (teratogenic) in categories </w:t>
            </w:r>
            <w:proofErr w:type="spellStart"/>
            <w:r>
              <w:rPr>
                <w:rFonts w:ascii="Arial" w:hAnsi="Arial"/>
              </w:rPr>
              <w:t>Repr</w:t>
            </w:r>
            <w:proofErr w:type="spellEnd"/>
            <w:r>
              <w:rPr>
                <w:rFonts w:ascii="Arial" w:hAnsi="Arial"/>
              </w:rPr>
              <w:t xml:space="preserve">. 1A or </w:t>
            </w:r>
            <w:proofErr w:type="spellStart"/>
            <w:r>
              <w:rPr>
                <w:rFonts w:ascii="Arial" w:hAnsi="Arial"/>
              </w:rPr>
              <w:t>Repr</w:t>
            </w:r>
            <w:proofErr w:type="spellEnd"/>
            <w:r>
              <w:rPr>
                <w:rFonts w:ascii="Arial" w:hAnsi="Arial"/>
              </w:rPr>
              <w:t xml:space="preserve">. 1B or </w:t>
            </w:r>
            <w:proofErr w:type="spellStart"/>
            <w:r>
              <w:rPr>
                <w:rFonts w:ascii="Arial" w:hAnsi="Arial"/>
              </w:rPr>
              <w:t>Repr</w:t>
            </w:r>
            <w:proofErr w:type="spellEnd"/>
            <w:r>
              <w:rPr>
                <w:rFonts w:ascii="Arial" w:hAnsi="Arial"/>
              </w:rPr>
              <w:t xml:space="preserve">. 2; </w:t>
            </w:r>
          </w:p>
          <w:p w14:paraId="7D334C4D" w14:textId="77777777" w:rsidR="004F5CCD" w:rsidRPr="0051049E" w:rsidRDefault="004F5CCD" w:rsidP="004F5CCD">
            <w:pPr>
              <w:pStyle w:val="AufzhlungPunkt1"/>
              <w:rPr>
                <w:rFonts w:ascii="Arial" w:hAnsi="Arial" w:cs="Arial"/>
              </w:rPr>
            </w:pPr>
            <w:r>
              <w:rPr>
                <w:rFonts w:ascii="Arial" w:hAnsi="Arial"/>
              </w:rPr>
              <w:t>acute toxicity (poisonous) in categories Acute Tox. 1 or Acute Tox. 2 or Acute Tox. 3</w:t>
            </w:r>
          </w:p>
          <w:p w14:paraId="3403213B" w14:textId="77777777" w:rsidR="004F5CCD" w:rsidRPr="0051049E" w:rsidRDefault="004F5CCD" w:rsidP="004F5CCD">
            <w:pPr>
              <w:pStyle w:val="AufzhlungPunkt1"/>
              <w:rPr>
                <w:rFonts w:ascii="Arial" w:hAnsi="Arial" w:cs="Arial"/>
              </w:rPr>
            </w:pPr>
            <w:r>
              <w:rPr>
                <w:rFonts w:ascii="Arial" w:hAnsi="Arial"/>
              </w:rPr>
              <w:t>hazardous to the ozone layer in category Ozone 1.</w:t>
            </w:r>
          </w:p>
          <w:p w14:paraId="771EA6A0" w14:textId="77777777" w:rsidR="004F5CCD" w:rsidRPr="0051049E" w:rsidRDefault="004F5CCD" w:rsidP="004F5CCD">
            <w:pPr>
              <w:rPr>
                <w:rFonts w:cs="Arial"/>
                <w:sz w:val="20"/>
              </w:rPr>
            </w:pPr>
            <w:r>
              <w:rPr>
                <w:sz w:val="20"/>
              </w:rPr>
              <w:t>The hazard statements (H Phrases) that correspond to the hazard categories can be found in Appendix E</w:t>
            </w:r>
          </w:p>
          <w:p w14:paraId="6DEB524A" w14:textId="77777777" w:rsidR="004F5CCD" w:rsidRPr="0051049E" w:rsidRDefault="004F5CCD" w:rsidP="004F5CCD">
            <w:pPr>
              <w:rPr>
                <w:rFonts w:cs="Arial"/>
                <w:sz w:val="20"/>
              </w:rPr>
            </w:pPr>
          </w:p>
          <w:p w14:paraId="77C0DEFC" w14:textId="77777777" w:rsidR="004F5CCD" w:rsidRPr="0051049E" w:rsidRDefault="004F5CCD" w:rsidP="004F5CCD">
            <w:pPr>
              <w:rPr>
                <w:rFonts w:cs="Arial"/>
                <w:sz w:val="20"/>
              </w:rPr>
            </w:pPr>
          </w:p>
          <w:p w14:paraId="3D375E5C" w14:textId="77777777" w:rsidR="004F5CCD" w:rsidRPr="0051049E" w:rsidRDefault="004F5CCD" w:rsidP="004F5CCD">
            <w:pPr>
              <w:rPr>
                <w:rFonts w:cs="Arial"/>
                <w:sz w:val="20"/>
              </w:rPr>
            </w:pPr>
            <w:r>
              <w:rPr>
                <w:sz w:val="20"/>
              </w:rPr>
              <w:t xml:space="preserve">3. Substances that are classified in TRGS 905 as: </w:t>
            </w:r>
          </w:p>
          <w:p w14:paraId="102BD028" w14:textId="77777777" w:rsidR="004F5CCD" w:rsidRPr="0051049E" w:rsidRDefault="004F5CCD" w:rsidP="004F5CCD">
            <w:pPr>
              <w:pStyle w:val="AufzhlungPunkt1"/>
              <w:rPr>
                <w:rFonts w:ascii="Arial" w:hAnsi="Arial" w:cs="Arial"/>
              </w:rPr>
            </w:pPr>
            <w:r>
              <w:rPr>
                <w:rFonts w:ascii="Arial" w:hAnsi="Arial"/>
              </w:rPr>
              <w:t>carcinogenic (K1A, K1B, K2)</w:t>
            </w:r>
          </w:p>
          <w:p w14:paraId="7BDD551C" w14:textId="77777777" w:rsidR="004F5CCD" w:rsidRPr="0051049E" w:rsidRDefault="004F5CCD" w:rsidP="004F5CCD">
            <w:pPr>
              <w:pStyle w:val="AufzhlungPunkt1"/>
              <w:rPr>
                <w:rFonts w:ascii="Arial" w:hAnsi="Arial" w:cs="Arial"/>
              </w:rPr>
            </w:pPr>
            <w:r>
              <w:rPr>
                <w:rFonts w:ascii="Arial" w:hAnsi="Arial"/>
              </w:rPr>
              <w:t>germ cell mutagenic (M1A, M1B, M2)</w:t>
            </w:r>
          </w:p>
          <w:p w14:paraId="7517176B" w14:textId="77777777" w:rsidR="004F5CCD" w:rsidRPr="0051049E" w:rsidRDefault="004F5CCD" w:rsidP="004F5CCD">
            <w:pPr>
              <w:pStyle w:val="AufzhlungPunkt1"/>
              <w:rPr>
                <w:rFonts w:ascii="Arial" w:hAnsi="Arial" w:cs="Arial"/>
              </w:rPr>
            </w:pPr>
            <w:r>
              <w:rPr>
                <w:rFonts w:ascii="Arial" w:hAnsi="Arial"/>
              </w:rPr>
              <w:t>reprotoxic (RF1A, RF1B, RF2)</w:t>
            </w:r>
          </w:p>
          <w:p w14:paraId="11EA54A4" w14:textId="77777777" w:rsidR="009166C6" w:rsidRDefault="004F5CCD" w:rsidP="004F5CCD">
            <w:pPr>
              <w:pStyle w:val="AufzhlungPunkt1"/>
              <w:rPr>
                <w:rFonts w:ascii="Arial" w:hAnsi="Arial" w:cs="Arial"/>
              </w:rPr>
            </w:pPr>
            <w:r>
              <w:rPr>
                <w:rFonts w:ascii="Arial" w:hAnsi="Arial"/>
              </w:rPr>
              <w:t>teratogenic (RD1A, RD1B, RD2)</w:t>
            </w:r>
          </w:p>
          <w:p w14:paraId="65BDD94A" w14:textId="77777777" w:rsidR="00A6720D" w:rsidRPr="004F5CCD" w:rsidRDefault="00A6720D" w:rsidP="00A6720D">
            <w:pPr>
              <w:pStyle w:val="AufzhlungPunkt1"/>
              <w:numPr>
                <w:ilvl w:val="0"/>
                <w:numId w:val="0"/>
              </w:numPr>
              <w:rPr>
                <w:rFonts w:ascii="Arial" w:hAnsi="Arial" w:cs="Arial"/>
              </w:rPr>
            </w:pPr>
          </w:p>
        </w:tc>
      </w:tr>
      <w:tr w:rsidR="002734B9" w:rsidRPr="002734B9" w14:paraId="31198F63" w14:textId="77777777" w:rsidTr="001F48BE">
        <w:trPr>
          <w:trHeight w:val="283"/>
        </w:trPr>
        <w:tc>
          <w:tcPr>
            <w:tcW w:w="1139" w:type="dxa"/>
            <w:shd w:val="clear" w:color="auto" w:fill="F2F2F2" w:themeFill="background1" w:themeFillShade="F2"/>
          </w:tcPr>
          <w:p w14:paraId="7476E817" w14:textId="77777777" w:rsidR="002734B9" w:rsidRPr="002734B9" w:rsidRDefault="002734B9" w:rsidP="00EA1340">
            <w:pPr>
              <w:spacing w:line="276" w:lineRule="auto"/>
              <w:jc w:val="both"/>
              <w:rPr>
                <w:rFonts w:cs="Arial"/>
                <w:b/>
                <w:sz w:val="20"/>
              </w:rPr>
            </w:pPr>
            <w:r>
              <w:rPr>
                <w:b/>
                <w:sz w:val="20"/>
              </w:rPr>
              <w:lastRenderedPageBreak/>
              <w:t>3.1.2</w:t>
            </w:r>
          </w:p>
        </w:tc>
        <w:tc>
          <w:tcPr>
            <w:tcW w:w="13457" w:type="dxa"/>
            <w:gridSpan w:val="2"/>
            <w:shd w:val="clear" w:color="auto" w:fill="F2F2F2" w:themeFill="background1" w:themeFillShade="F2"/>
          </w:tcPr>
          <w:p w14:paraId="10B2A967" w14:textId="77777777" w:rsidR="002734B9" w:rsidRPr="002734B9" w:rsidRDefault="002734B9" w:rsidP="00EA1340">
            <w:pPr>
              <w:spacing w:line="276" w:lineRule="auto"/>
              <w:rPr>
                <w:rFonts w:cs="Arial"/>
                <w:b/>
                <w:sz w:val="20"/>
              </w:rPr>
            </w:pPr>
            <w:r>
              <w:rPr>
                <w:b/>
                <w:sz w:val="20"/>
              </w:rPr>
              <w:t>Requirements on the use of biocides</w:t>
            </w:r>
          </w:p>
        </w:tc>
      </w:tr>
      <w:tr w:rsidR="00804FA5" w:rsidRPr="002734B9" w14:paraId="339D4A3E" w14:textId="77777777" w:rsidTr="00101D4D">
        <w:trPr>
          <w:trHeight w:val="283"/>
        </w:trPr>
        <w:tc>
          <w:tcPr>
            <w:tcW w:w="1139" w:type="dxa"/>
          </w:tcPr>
          <w:p w14:paraId="3C9EA0EE" w14:textId="77777777" w:rsidR="00804FA5" w:rsidRPr="002734B9" w:rsidRDefault="00804FA5" w:rsidP="00EA1340">
            <w:pPr>
              <w:spacing w:line="276" w:lineRule="auto"/>
              <w:jc w:val="both"/>
              <w:rPr>
                <w:rFonts w:cs="Arial"/>
                <w:b/>
                <w:sz w:val="20"/>
              </w:rPr>
            </w:pPr>
          </w:p>
        </w:tc>
        <w:tc>
          <w:tcPr>
            <w:tcW w:w="3676" w:type="dxa"/>
          </w:tcPr>
          <w:p w14:paraId="2C90ADBE" w14:textId="77777777" w:rsidR="002734B9" w:rsidRDefault="002734B9" w:rsidP="00EA1340">
            <w:pPr>
              <w:spacing w:line="276" w:lineRule="auto"/>
              <w:rPr>
                <w:rFonts w:cs="Arial"/>
                <w:sz w:val="20"/>
              </w:rPr>
            </w:pPr>
            <w:r>
              <w:rPr>
                <w:sz w:val="20"/>
              </w:rPr>
              <w:t xml:space="preserve">Coatings and adhesive films, cleanable hard coatings, electrical processes with a special coating structure, </w:t>
            </w:r>
          </w:p>
          <w:p w14:paraId="45661F59" w14:textId="77777777" w:rsidR="002734B9" w:rsidRDefault="002734B9" w:rsidP="00EA1340">
            <w:pPr>
              <w:spacing w:line="276" w:lineRule="auto"/>
              <w:rPr>
                <w:rFonts w:cs="Arial"/>
                <w:sz w:val="20"/>
              </w:rPr>
            </w:pPr>
            <w:r>
              <w:rPr>
                <w:sz w:val="20"/>
              </w:rPr>
              <w:t xml:space="preserve">underwater tarpaulins, </w:t>
            </w:r>
          </w:p>
          <w:p w14:paraId="79CD848D" w14:textId="77777777" w:rsidR="002734B9" w:rsidRDefault="002734B9" w:rsidP="00EA1340">
            <w:pPr>
              <w:spacing w:line="276" w:lineRule="auto"/>
              <w:rPr>
                <w:rFonts w:cs="Arial"/>
                <w:sz w:val="20"/>
              </w:rPr>
            </w:pPr>
            <w:r>
              <w:rPr>
                <w:sz w:val="20"/>
              </w:rPr>
              <w:t xml:space="preserve">mobile ship cleaning equipment, </w:t>
            </w:r>
          </w:p>
          <w:p w14:paraId="5C6312A7" w14:textId="77777777" w:rsidR="00804FA5" w:rsidRPr="002734B9" w:rsidRDefault="002734B9" w:rsidP="00EA1340">
            <w:pPr>
              <w:spacing w:line="276" w:lineRule="auto"/>
              <w:rPr>
                <w:rFonts w:cs="Arial"/>
                <w:sz w:val="20"/>
              </w:rPr>
            </w:pPr>
            <w:r>
              <w:rPr>
                <w:sz w:val="20"/>
              </w:rPr>
              <w:t>stationary ship cleaning equipment</w:t>
            </w:r>
          </w:p>
        </w:tc>
        <w:tc>
          <w:tcPr>
            <w:tcW w:w="9781" w:type="dxa"/>
          </w:tcPr>
          <w:p w14:paraId="5FCF6D34" w14:textId="617417B2" w:rsidR="00804FA5" w:rsidRPr="00317E86" w:rsidRDefault="00804FA5" w:rsidP="00EA1340">
            <w:pPr>
              <w:spacing w:line="276" w:lineRule="auto"/>
              <w:rPr>
                <w:rFonts w:cs="Arial"/>
                <w:sz w:val="20"/>
              </w:rPr>
            </w:pPr>
            <w:r w:rsidRPr="00317E86">
              <w:rPr>
                <w:sz w:val="20"/>
              </w:rPr>
              <w:t xml:space="preserve">The use of biocides according to Directive (EU) No 528/2012 in the products and primary products is prohibited. As an exception to this rule, the primary products may contain in-can preservatives (PA 6) if the requirements for the classification of the product in </w:t>
            </w:r>
            <w:r w:rsidR="00317E86" w:rsidRPr="00317E86">
              <w:rPr>
                <w:sz w:val="20"/>
              </w:rPr>
              <w:t>3.2.1</w:t>
            </w:r>
            <w:r w:rsidRPr="00317E86">
              <w:rPr>
                <w:sz w:val="20"/>
              </w:rPr>
              <w:t xml:space="preserve"> are observed.</w:t>
            </w:r>
          </w:p>
        </w:tc>
      </w:tr>
      <w:tr w:rsidR="00031C37" w:rsidRPr="002734B9" w14:paraId="7C62DA1C" w14:textId="77777777" w:rsidTr="001F48BE">
        <w:trPr>
          <w:trHeight w:val="283"/>
        </w:trPr>
        <w:tc>
          <w:tcPr>
            <w:tcW w:w="1139" w:type="dxa"/>
            <w:shd w:val="clear" w:color="auto" w:fill="F2F2F2" w:themeFill="background1" w:themeFillShade="F2"/>
          </w:tcPr>
          <w:p w14:paraId="34360B02" w14:textId="77777777" w:rsidR="00031C37" w:rsidRPr="00031C37" w:rsidRDefault="00031C37" w:rsidP="00EA1340">
            <w:pPr>
              <w:spacing w:line="276" w:lineRule="auto"/>
              <w:jc w:val="both"/>
              <w:rPr>
                <w:rFonts w:cs="Arial"/>
                <w:b/>
                <w:sz w:val="20"/>
              </w:rPr>
            </w:pPr>
            <w:r>
              <w:rPr>
                <w:b/>
                <w:sz w:val="20"/>
              </w:rPr>
              <w:t>3.1.3</w:t>
            </w:r>
          </w:p>
        </w:tc>
        <w:tc>
          <w:tcPr>
            <w:tcW w:w="13457" w:type="dxa"/>
            <w:gridSpan w:val="2"/>
            <w:shd w:val="clear" w:color="auto" w:fill="F2F2F2" w:themeFill="background1" w:themeFillShade="F2"/>
          </w:tcPr>
          <w:p w14:paraId="18512771" w14:textId="77777777" w:rsidR="00031C37" w:rsidRPr="00031C37" w:rsidRDefault="00031C37" w:rsidP="00EA1340">
            <w:pPr>
              <w:spacing w:line="276" w:lineRule="auto"/>
              <w:rPr>
                <w:rFonts w:cs="Arial"/>
                <w:b/>
                <w:sz w:val="20"/>
              </w:rPr>
            </w:pPr>
            <w:r>
              <w:rPr>
                <w:b/>
                <w:sz w:val="20"/>
              </w:rPr>
              <w:t>Requirements with respect to volatile organic compounds (VOC)</w:t>
            </w:r>
          </w:p>
        </w:tc>
      </w:tr>
      <w:tr w:rsidR="00804FA5" w:rsidRPr="002734B9" w14:paraId="36E42177" w14:textId="77777777" w:rsidTr="00101D4D">
        <w:trPr>
          <w:trHeight w:val="283"/>
        </w:trPr>
        <w:tc>
          <w:tcPr>
            <w:tcW w:w="1139" w:type="dxa"/>
          </w:tcPr>
          <w:p w14:paraId="77566FFC" w14:textId="77777777" w:rsidR="00804FA5" w:rsidRPr="002734B9" w:rsidRDefault="00804FA5" w:rsidP="00EA1340">
            <w:pPr>
              <w:spacing w:line="276" w:lineRule="auto"/>
              <w:jc w:val="both"/>
              <w:rPr>
                <w:rFonts w:cs="Arial"/>
                <w:b/>
                <w:sz w:val="20"/>
              </w:rPr>
            </w:pPr>
          </w:p>
        </w:tc>
        <w:tc>
          <w:tcPr>
            <w:tcW w:w="3676" w:type="dxa"/>
          </w:tcPr>
          <w:p w14:paraId="4A1314A7" w14:textId="77777777" w:rsidR="00031C37" w:rsidRDefault="00031C37" w:rsidP="00031C37">
            <w:pPr>
              <w:spacing w:line="276" w:lineRule="auto"/>
              <w:rPr>
                <w:rFonts w:cs="Arial"/>
                <w:sz w:val="20"/>
              </w:rPr>
            </w:pPr>
            <w:r>
              <w:rPr>
                <w:sz w:val="20"/>
              </w:rPr>
              <w:t xml:space="preserve">Coatings and adhesive films, cleanable hard coatings, </w:t>
            </w:r>
          </w:p>
          <w:p w14:paraId="590C191E" w14:textId="77777777" w:rsidR="00031C37" w:rsidRPr="00031C37" w:rsidRDefault="00031C37" w:rsidP="00031C37">
            <w:pPr>
              <w:spacing w:line="276" w:lineRule="auto"/>
              <w:rPr>
                <w:rFonts w:cs="Arial"/>
                <w:sz w:val="20"/>
              </w:rPr>
            </w:pPr>
            <w:r>
              <w:rPr>
                <w:sz w:val="20"/>
              </w:rPr>
              <w:t>electrical processes with a special coating structure</w:t>
            </w:r>
          </w:p>
          <w:p w14:paraId="402C748E" w14:textId="77777777" w:rsidR="00804FA5" w:rsidRPr="00031C37" w:rsidRDefault="00804FA5" w:rsidP="00EA1340">
            <w:pPr>
              <w:spacing w:line="276" w:lineRule="auto"/>
              <w:rPr>
                <w:rFonts w:cs="Arial"/>
                <w:sz w:val="20"/>
                <w:highlight w:val="yellow"/>
              </w:rPr>
            </w:pPr>
          </w:p>
        </w:tc>
        <w:tc>
          <w:tcPr>
            <w:tcW w:w="9781" w:type="dxa"/>
          </w:tcPr>
          <w:p w14:paraId="04805191" w14:textId="77777777" w:rsidR="0051049E" w:rsidRPr="0051049E" w:rsidRDefault="0051049E" w:rsidP="0051049E">
            <w:pPr>
              <w:rPr>
                <w:rFonts w:cs="Arial"/>
                <w:sz w:val="20"/>
              </w:rPr>
            </w:pPr>
            <w:r>
              <w:rPr>
                <w:sz w:val="20"/>
              </w:rPr>
              <w:t>For underwater coatings, the following maximum allowable content of volatile organic compounds applies:</w:t>
            </w:r>
          </w:p>
          <w:p w14:paraId="49C5E352" w14:textId="77777777" w:rsidR="0051049E" w:rsidRPr="0051049E" w:rsidRDefault="0051049E" w:rsidP="0051049E">
            <w:pPr>
              <w:pStyle w:val="AufzhlungPunkt2"/>
              <w:numPr>
                <w:ilvl w:val="0"/>
                <w:numId w:val="9"/>
              </w:numPr>
              <w:ind w:left="851" w:hanging="425"/>
              <w:rPr>
                <w:rFonts w:ascii="Arial" w:hAnsi="Arial" w:cs="Arial"/>
              </w:rPr>
            </w:pPr>
            <w:r>
              <w:rPr>
                <w:rFonts w:ascii="Arial" w:hAnsi="Arial"/>
              </w:rPr>
              <w:t>a VOC limit of 100 g/L for water-based products and 250 g/L for solvent-based products.</w:t>
            </w:r>
            <w:r w:rsidRPr="0051049E">
              <w:rPr>
                <w:rStyle w:val="Funotenzeichen"/>
                <w:rFonts w:ascii="Arial" w:hAnsi="Arial" w:cs="Arial"/>
              </w:rPr>
              <w:footnoteReference w:id="3"/>
            </w:r>
          </w:p>
          <w:p w14:paraId="47AE8ABE" w14:textId="77777777" w:rsidR="0051049E" w:rsidRPr="0051049E" w:rsidRDefault="0051049E" w:rsidP="0051049E">
            <w:pPr>
              <w:pStyle w:val="Standardeingercktum0"/>
              <w:rPr>
                <w:rFonts w:ascii="Arial" w:hAnsi="Arial" w:cs="Arial"/>
              </w:rPr>
            </w:pPr>
            <w:r>
              <w:rPr>
                <w:rFonts w:ascii="Arial" w:hAnsi="Arial"/>
              </w:rPr>
              <w:t xml:space="preserve">or </w:t>
            </w:r>
          </w:p>
          <w:p w14:paraId="0E0D7F95" w14:textId="77777777" w:rsidR="00804FA5" w:rsidRPr="0051049E" w:rsidRDefault="0051049E" w:rsidP="0051049E">
            <w:pPr>
              <w:pStyle w:val="AufzhlungPunkt2"/>
              <w:numPr>
                <w:ilvl w:val="0"/>
                <w:numId w:val="9"/>
              </w:numPr>
              <w:ind w:left="851" w:hanging="425"/>
            </w:pPr>
            <w:r>
              <w:rPr>
                <w:rFonts w:ascii="Arial" w:hAnsi="Arial"/>
              </w:rPr>
              <w:t>an area-based total consumption for all applied layers of 150 g/m2.</w:t>
            </w:r>
            <w:r w:rsidRPr="0051049E">
              <w:rPr>
                <w:rStyle w:val="Funotenzeichen"/>
                <w:rFonts w:ascii="Arial" w:hAnsi="Arial" w:cs="Arial"/>
              </w:rPr>
              <w:footnoteReference w:id="4"/>
            </w:r>
          </w:p>
        </w:tc>
      </w:tr>
      <w:tr w:rsidR="00031C37" w:rsidRPr="002734B9" w14:paraId="794DEFE3" w14:textId="77777777" w:rsidTr="001F48BE">
        <w:trPr>
          <w:trHeight w:val="283"/>
        </w:trPr>
        <w:tc>
          <w:tcPr>
            <w:tcW w:w="1139" w:type="dxa"/>
            <w:shd w:val="clear" w:color="auto" w:fill="F2F2F2" w:themeFill="background1" w:themeFillShade="F2"/>
          </w:tcPr>
          <w:p w14:paraId="68E49DC2" w14:textId="77777777" w:rsidR="00031C37" w:rsidRPr="001932DC" w:rsidRDefault="00031C37" w:rsidP="00EA1340">
            <w:pPr>
              <w:spacing w:line="276" w:lineRule="auto"/>
              <w:jc w:val="both"/>
              <w:rPr>
                <w:rFonts w:cs="Arial"/>
                <w:b/>
                <w:sz w:val="20"/>
              </w:rPr>
            </w:pPr>
            <w:r>
              <w:rPr>
                <w:b/>
                <w:sz w:val="20"/>
              </w:rPr>
              <w:t>3.1.4</w:t>
            </w:r>
          </w:p>
        </w:tc>
        <w:tc>
          <w:tcPr>
            <w:tcW w:w="13457" w:type="dxa"/>
            <w:gridSpan w:val="2"/>
            <w:shd w:val="clear" w:color="auto" w:fill="F2F2F2" w:themeFill="background1" w:themeFillShade="F2"/>
          </w:tcPr>
          <w:p w14:paraId="2584F8EA" w14:textId="77777777" w:rsidR="00031C37" w:rsidRPr="001932DC" w:rsidRDefault="001932DC" w:rsidP="00EA1340">
            <w:pPr>
              <w:spacing w:line="276" w:lineRule="auto"/>
              <w:rPr>
                <w:rFonts w:cs="Arial"/>
                <w:b/>
                <w:sz w:val="20"/>
              </w:rPr>
            </w:pPr>
            <w:r>
              <w:rPr>
                <w:b/>
                <w:sz w:val="20"/>
              </w:rPr>
              <w:t>Special requirements for specific substances</w:t>
            </w:r>
          </w:p>
        </w:tc>
      </w:tr>
      <w:tr w:rsidR="00804FA5" w:rsidRPr="002734B9" w14:paraId="2D97AF6B" w14:textId="77777777" w:rsidTr="00101D4D">
        <w:trPr>
          <w:trHeight w:val="283"/>
        </w:trPr>
        <w:tc>
          <w:tcPr>
            <w:tcW w:w="1139" w:type="dxa"/>
          </w:tcPr>
          <w:p w14:paraId="3DF8D139" w14:textId="77777777" w:rsidR="00804FA5" w:rsidRPr="002734B9" w:rsidRDefault="00804FA5" w:rsidP="00EA1340">
            <w:pPr>
              <w:spacing w:line="276" w:lineRule="auto"/>
              <w:jc w:val="both"/>
              <w:rPr>
                <w:rFonts w:cs="Arial"/>
                <w:b/>
                <w:sz w:val="20"/>
              </w:rPr>
            </w:pPr>
          </w:p>
        </w:tc>
        <w:tc>
          <w:tcPr>
            <w:tcW w:w="3676" w:type="dxa"/>
          </w:tcPr>
          <w:p w14:paraId="0D7F57FE" w14:textId="77777777" w:rsidR="00031C37" w:rsidRDefault="00031C37" w:rsidP="00031C37">
            <w:pPr>
              <w:spacing w:line="276" w:lineRule="auto"/>
              <w:rPr>
                <w:rFonts w:cs="Arial"/>
                <w:sz w:val="20"/>
              </w:rPr>
            </w:pPr>
            <w:r>
              <w:rPr>
                <w:sz w:val="20"/>
              </w:rPr>
              <w:t xml:space="preserve">Coatings and adhesive films, cleanable hard coatings, electrical processes with a special coating structure, </w:t>
            </w:r>
          </w:p>
          <w:p w14:paraId="695F6E68" w14:textId="77777777" w:rsidR="00031C37" w:rsidRDefault="00031C37" w:rsidP="00031C37">
            <w:pPr>
              <w:spacing w:line="276" w:lineRule="auto"/>
              <w:rPr>
                <w:rFonts w:cs="Arial"/>
                <w:sz w:val="20"/>
              </w:rPr>
            </w:pPr>
            <w:r>
              <w:rPr>
                <w:sz w:val="20"/>
              </w:rPr>
              <w:t xml:space="preserve">underwater tarpaulins, </w:t>
            </w:r>
          </w:p>
          <w:p w14:paraId="0D1B8265" w14:textId="77777777" w:rsidR="00031C37" w:rsidRDefault="00031C37" w:rsidP="00031C37">
            <w:pPr>
              <w:spacing w:line="276" w:lineRule="auto"/>
              <w:rPr>
                <w:rFonts w:cs="Arial"/>
                <w:sz w:val="20"/>
              </w:rPr>
            </w:pPr>
            <w:r>
              <w:rPr>
                <w:sz w:val="20"/>
              </w:rPr>
              <w:t xml:space="preserve">mobile ship cleaning equipment, </w:t>
            </w:r>
          </w:p>
          <w:p w14:paraId="736624C5" w14:textId="77777777" w:rsidR="00031C37" w:rsidRPr="00031C37" w:rsidRDefault="00031C37" w:rsidP="00031C37">
            <w:pPr>
              <w:spacing w:line="276" w:lineRule="auto"/>
              <w:rPr>
                <w:rFonts w:cs="Arial"/>
                <w:sz w:val="20"/>
              </w:rPr>
            </w:pPr>
            <w:r>
              <w:rPr>
                <w:sz w:val="20"/>
              </w:rPr>
              <w:t>stationary ship cleaning equipment</w:t>
            </w:r>
          </w:p>
          <w:p w14:paraId="309D8FBB" w14:textId="77777777" w:rsidR="00804FA5" w:rsidRPr="002734B9" w:rsidRDefault="00804FA5" w:rsidP="00EA1340">
            <w:pPr>
              <w:spacing w:line="276" w:lineRule="auto"/>
              <w:rPr>
                <w:rFonts w:cs="Arial"/>
                <w:sz w:val="20"/>
              </w:rPr>
            </w:pPr>
          </w:p>
        </w:tc>
        <w:tc>
          <w:tcPr>
            <w:tcW w:w="9781" w:type="dxa"/>
          </w:tcPr>
          <w:p w14:paraId="279FBDA5" w14:textId="77777777" w:rsidR="0004748C" w:rsidRPr="0004748C" w:rsidRDefault="0004748C" w:rsidP="0004748C">
            <w:pPr>
              <w:pStyle w:val="AufzhlungBuchstabeFett"/>
              <w:rPr>
                <w:rFonts w:ascii="Arial" w:hAnsi="Arial" w:cs="Arial"/>
                <w:szCs w:val="20"/>
              </w:rPr>
            </w:pPr>
            <w:r>
              <w:rPr>
                <w:rFonts w:ascii="Arial" w:hAnsi="Arial"/>
              </w:rPr>
              <w:t xml:space="preserve">Pigments and </w:t>
            </w:r>
            <w:proofErr w:type="spellStart"/>
            <w:r>
              <w:rPr>
                <w:rFonts w:ascii="Arial" w:hAnsi="Arial"/>
              </w:rPr>
              <w:t>siccatives</w:t>
            </w:r>
            <w:proofErr w:type="spellEnd"/>
          </w:p>
          <w:p w14:paraId="363B2C13" w14:textId="77777777" w:rsidR="0004748C" w:rsidRPr="0004748C" w:rsidRDefault="0004748C" w:rsidP="0004748C">
            <w:pPr>
              <w:rPr>
                <w:rFonts w:cs="Arial"/>
                <w:sz w:val="20"/>
              </w:rPr>
            </w:pPr>
            <w:r>
              <w:rPr>
                <w:sz w:val="20"/>
              </w:rPr>
              <w:t xml:space="preserve">Pigments or </w:t>
            </w:r>
            <w:proofErr w:type="spellStart"/>
            <w:r>
              <w:rPr>
                <w:sz w:val="20"/>
              </w:rPr>
              <w:t>siccatives</w:t>
            </w:r>
            <w:proofErr w:type="spellEnd"/>
            <w:r>
              <w:rPr>
                <w:sz w:val="20"/>
              </w:rPr>
              <w:t xml:space="preserve"> containing lead compounds may not be added to the underwater coatings or plastics. Exempted are natural and production-related impurities of up to 200 ppm which may be contained with the pigment.</w:t>
            </w:r>
          </w:p>
          <w:p w14:paraId="1716932C" w14:textId="77777777" w:rsidR="0004748C" w:rsidRPr="0004748C" w:rsidRDefault="0004748C" w:rsidP="0004748C">
            <w:pPr>
              <w:rPr>
                <w:rFonts w:cs="Arial"/>
                <w:sz w:val="20"/>
              </w:rPr>
            </w:pPr>
          </w:p>
          <w:p w14:paraId="5818B049" w14:textId="77777777" w:rsidR="0004748C" w:rsidRPr="0004748C" w:rsidRDefault="0004748C" w:rsidP="0004748C">
            <w:pPr>
              <w:pStyle w:val="AufzhlungBuchstabeFett"/>
              <w:rPr>
                <w:rFonts w:ascii="Arial" w:hAnsi="Arial" w:cs="Arial"/>
                <w:szCs w:val="20"/>
              </w:rPr>
            </w:pPr>
            <w:r>
              <w:rPr>
                <w:rFonts w:ascii="Arial" w:hAnsi="Arial"/>
              </w:rPr>
              <w:t>Alkylphenol ethoxylates</w:t>
            </w:r>
          </w:p>
          <w:p w14:paraId="462FCE4A" w14:textId="77777777" w:rsidR="0004748C" w:rsidRPr="0004748C" w:rsidRDefault="0004748C" w:rsidP="0004748C">
            <w:pPr>
              <w:rPr>
                <w:rFonts w:cs="Arial"/>
                <w:sz w:val="20"/>
              </w:rPr>
            </w:pPr>
            <w:r>
              <w:rPr>
                <w:sz w:val="20"/>
              </w:rPr>
              <w:t>Products containing alkylphenol ethoxylates (APEO) and/or their derivatives may not be added to the underwater coatings or plastics. This rule also applies to primary products.</w:t>
            </w:r>
          </w:p>
          <w:p w14:paraId="3309CAB2" w14:textId="77777777" w:rsidR="0004748C" w:rsidRPr="0004748C" w:rsidRDefault="0004748C" w:rsidP="0004748C">
            <w:pPr>
              <w:rPr>
                <w:rFonts w:cs="Arial"/>
                <w:sz w:val="20"/>
              </w:rPr>
            </w:pPr>
          </w:p>
          <w:p w14:paraId="19B1D207" w14:textId="77777777" w:rsidR="0004748C" w:rsidRPr="0004748C" w:rsidRDefault="0004748C" w:rsidP="0004748C">
            <w:pPr>
              <w:pStyle w:val="AufzhlungBuchstabeFett"/>
              <w:rPr>
                <w:rFonts w:ascii="Arial" w:hAnsi="Arial" w:cs="Arial"/>
                <w:szCs w:val="20"/>
              </w:rPr>
            </w:pPr>
            <w:r>
              <w:rPr>
                <w:rFonts w:ascii="Arial" w:hAnsi="Arial"/>
              </w:rPr>
              <w:t>Plasticisers</w:t>
            </w:r>
          </w:p>
          <w:p w14:paraId="55D31555" w14:textId="77777777" w:rsidR="0004748C" w:rsidRPr="0004748C" w:rsidRDefault="0004748C" w:rsidP="0004748C">
            <w:pPr>
              <w:rPr>
                <w:rFonts w:cs="Arial"/>
                <w:sz w:val="20"/>
              </w:rPr>
            </w:pPr>
            <w:r>
              <w:rPr>
                <w:sz w:val="20"/>
              </w:rPr>
              <w:t>Products that contain plasticising substances from the group of phthalates or group of organophosphates may not be added to the underwater coatings or plastics. The same also applies to primary products.</w:t>
            </w:r>
          </w:p>
          <w:p w14:paraId="1DE63FF6" w14:textId="77777777" w:rsidR="0004748C" w:rsidRPr="0004748C" w:rsidRDefault="0004748C" w:rsidP="0004748C">
            <w:pPr>
              <w:pStyle w:val="AufzhlungBuchstabeFett"/>
              <w:rPr>
                <w:rFonts w:ascii="Arial" w:hAnsi="Arial" w:cs="Arial"/>
                <w:szCs w:val="20"/>
              </w:rPr>
            </w:pPr>
            <w:r>
              <w:rPr>
                <w:rFonts w:ascii="Arial" w:hAnsi="Arial"/>
              </w:rPr>
              <w:t>Oximes</w:t>
            </w:r>
          </w:p>
          <w:p w14:paraId="2530914B" w14:textId="77777777" w:rsidR="0004748C" w:rsidRPr="0004748C" w:rsidRDefault="0004748C" w:rsidP="0004748C">
            <w:pPr>
              <w:rPr>
                <w:rFonts w:cs="Arial"/>
                <w:sz w:val="20"/>
              </w:rPr>
            </w:pPr>
            <w:r>
              <w:rPr>
                <w:sz w:val="20"/>
              </w:rPr>
              <w:t xml:space="preserve">Oximes and primary products containing oximes may not be added to the products. </w:t>
            </w:r>
          </w:p>
          <w:p w14:paraId="5342A451" w14:textId="77777777" w:rsidR="0004748C" w:rsidRPr="0004748C" w:rsidRDefault="0004748C" w:rsidP="0004748C">
            <w:pPr>
              <w:rPr>
                <w:rFonts w:cs="Arial"/>
                <w:sz w:val="20"/>
              </w:rPr>
            </w:pPr>
          </w:p>
          <w:p w14:paraId="3EA68880" w14:textId="77777777" w:rsidR="0004748C" w:rsidRPr="0004748C" w:rsidRDefault="0004748C" w:rsidP="0004748C">
            <w:pPr>
              <w:pStyle w:val="AufzhlungBuchstabeFett"/>
              <w:rPr>
                <w:rFonts w:ascii="Arial" w:hAnsi="Arial" w:cs="Arial"/>
                <w:szCs w:val="20"/>
              </w:rPr>
            </w:pPr>
            <w:proofErr w:type="spellStart"/>
            <w:r>
              <w:rPr>
                <w:rFonts w:ascii="Arial" w:hAnsi="Arial"/>
              </w:rPr>
              <w:t>Perfluorinated</w:t>
            </w:r>
            <w:proofErr w:type="spellEnd"/>
            <w:r>
              <w:rPr>
                <w:rFonts w:ascii="Arial" w:hAnsi="Arial"/>
              </w:rPr>
              <w:t xml:space="preserve"> and polyfluorinated chemicals</w:t>
            </w:r>
          </w:p>
          <w:p w14:paraId="15CF5E82" w14:textId="77777777" w:rsidR="0004748C" w:rsidRPr="0004748C" w:rsidRDefault="0004748C" w:rsidP="0004748C">
            <w:pPr>
              <w:rPr>
                <w:rFonts w:cs="Arial"/>
                <w:sz w:val="20"/>
              </w:rPr>
            </w:pPr>
            <w:proofErr w:type="spellStart"/>
            <w:r>
              <w:rPr>
                <w:sz w:val="20"/>
              </w:rPr>
              <w:t>Perfluorinated</w:t>
            </w:r>
            <w:proofErr w:type="spellEnd"/>
            <w:r>
              <w:rPr>
                <w:sz w:val="20"/>
              </w:rPr>
              <w:t xml:space="preserve"> or polyfluorinated chemicals (PFAS), such as fluorocarbon resins and fluorocarbon emulsions, </w:t>
            </w:r>
            <w:proofErr w:type="spellStart"/>
            <w:r>
              <w:rPr>
                <w:sz w:val="20"/>
              </w:rPr>
              <w:t>perfluorinated</w:t>
            </w:r>
            <w:proofErr w:type="spellEnd"/>
            <w:r>
              <w:rPr>
                <w:sz w:val="20"/>
              </w:rPr>
              <w:t xml:space="preserve"> surfactants, </w:t>
            </w:r>
            <w:proofErr w:type="spellStart"/>
            <w:r>
              <w:rPr>
                <w:sz w:val="20"/>
              </w:rPr>
              <w:t>perfluorinated</w:t>
            </w:r>
            <w:proofErr w:type="spellEnd"/>
            <w:r>
              <w:rPr>
                <w:sz w:val="20"/>
              </w:rPr>
              <w:t xml:space="preserve"> sulfonic and carboxylic acids may not be added to the product. The use of polytetrafluoroethylene (PTFE) is also prohibited.</w:t>
            </w:r>
          </w:p>
          <w:p w14:paraId="4F696A0E" w14:textId="77777777" w:rsidR="0004748C" w:rsidRPr="0004748C" w:rsidRDefault="0004748C" w:rsidP="0004748C">
            <w:pPr>
              <w:rPr>
                <w:rFonts w:cs="Arial"/>
                <w:sz w:val="20"/>
              </w:rPr>
            </w:pPr>
          </w:p>
          <w:p w14:paraId="1A168A35" w14:textId="77777777" w:rsidR="0004748C" w:rsidRPr="0004748C" w:rsidRDefault="0004748C" w:rsidP="0004748C">
            <w:pPr>
              <w:pStyle w:val="AufzhlungBuchstabeFett"/>
              <w:rPr>
                <w:rFonts w:ascii="Arial" w:hAnsi="Arial" w:cs="Arial"/>
                <w:szCs w:val="20"/>
              </w:rPr>
            </w:pPr>
            <w:r>
              <w:rPr>
                <w:rFonts w:ascii="Arial" w:hAnsi="Arial"/>
              </w:rPr>
              <w:t>PVC</w:t>
            </w:r>
          </w:p>
          <w:p w14:paraId="6DC0D50A" w14:textId="77777777" w:rsidR="0004748C" w:rsidRPr="0004748C" w:rsidRDefault="0004748C" w:rsidP="0004748C">
            <w:pPr>
              <w:rPr>
                <w:rFonts w:cs="Arial"/>
                <w:sz w:val="20"/>
              </w:rPr>
            </w:pPr>
            <w:r>
              <w:rPr>
                <w:sz w:val="20"/>
              </w:rPr>
              <w:t>The use of the plastic polyvinyl chloride (PVC) is not permitted.</w:t>
            </w:r>
          </w:p>
          <w:p w14:paraId="19B9CCE8" w14:textId="77777777" w:rsidR="0004748C" w:rsidRPr="0004748C" w:rsidRDefault="0004748C" w:rsidP="0004748C">
            <w:pPr>
              <w:rPr>
                <w:rFonts w:cs="Arial"/>
                <w:sz w:val="20"/>
              </w:rPr>
            </w:pPr>
          </w:p>
          <w:p w14:paraId="07F6A5E5" w14:textId="77777777" w:rsidR="0004748C" w:rsidRPr="0004748C" w:rsidRDefault="0004748C" w:rsidP="0004748C">
            <w:pPr>
              <w:pStyle w:val="AufzhlungBuchstabeFett"/>
              <w:rPr>
                <w:rFonts w:ascii="Arial" w:hAnsi="Arial" w:cs="Arial"/>
                <w:szCs w:val="20"/>
              </w:rPr>
            </w:pPr>
            <w:r>
              <w:rPr>
                <w:rFonts w:ascii="Arial" w:hAnsi="Arial"/>
              </w:rPr>
              <w:t>Organotin compounds</w:t>
            </w:r>
          </w:p>
          <w:p w14:paraId="1C46EBDB" w14:textId="77777777" w:rsidR="0004748C" w:rsidRPr="0004748C" w:rsidRDefault="0004748C" w:rsidP="0004748C">
            <w:pPr>
              <w:rPr>
                <w:rFonts w:cs="Arial"/>
                <w:sz w:val="20"/>
              </w:rPr>
            </w:pPr>
            <w:r>
              <w:rPr>
                <w:sz w:val="20"/>
              </w:rPr>
              <w:t>The use of organotin compounds is not permitted.</w:t>
            </w:r>
          </w:p>
          <w:p w14:paraId="67D2E3BC" w14:textId="77777777" w:rsidR="0004748C" w:rsidRPr="0004748C" w:rsidRDefault="0004748C" w:rsidP="0004748C">
            <w:pPr>
              <w:rPr>
                <w:rFonts w:cs="Arial"/>
                <w:sz w:val="20"/>
              </w:rPr>
            </w:pPr>
          </w:p>
          <w:p w14:paraId="20777F76" w14:textId="77777777" w:rsidR="0004748C" w:rsidRPr="0004748C" w:rsidRDefault="0004748C" w:rsidP="0004748C">
            <w:pPr>
              <w:pStyle w:val="AufzhlungBuchstabeFett"/>
              <w:rPr>
                <w:rFonts w:ascii="Arial" w:hAnsi="Arial" w:cs="Arial"/>
                <w:szCs w:val="20"/>
              </w:rPr>
            </w:pPr>
            <w:r>
              <w:rPr>
                <w:rFonts w:ascii="Arial" w:hAnsi="Arial"/>
              </w:rPr>
              <w:t>Copper as a catalyst</w:t>
            </w:r>
          </w:p>
          <w:p w14:paraId="23619561" w14:textId="02101AE0" w:rsidR="0004748C" w:rsidRPr="002C6FB9" w:rsidRDefault="0004748C" w:rsidP="0004748C">
            <w:pPr>
              <w:rPr>
                <w:rFonts w:cs="Arial"/>
                <w:sz w:val="20"/>
              </w:rPr>
            </w:pPr>
            <w:r w:rsidRPr="002C6FB9">
              <w:rPr>
                <w:sz w:val="20"/>
              </w:rPr>
              <w:t>The use of copper as a catalyst in silicone coatings is only permitted  if the requirements for the classification of the product in</w:t>
            </w:r>
            <w:r w:rsidR="002C6FB9" w:rsidRPr="002C6FB9">
              <w:rPr>
                <w:sz w:val="20"/>
              </w:rPr>
              <w:t xml:space="preserve"> 3.2.1</w:t>
            </w:r>
            <w:r w:rsidRPr="002C6FB9">
              <w:rPr>
                <w:sz w:val="20"/>
              </w:rPr>
              <w:t xml:space="preserve"> are observed.</w:t>
            </w:r>
          </w:p>
          <w:p w14:paraId="71AC76F6" w14:textId="77777777" w:rsidR="0004748C" w:rsidRPr="0004748C" w:rsidRDefault="0004748C" w:rsidP="0004748C">
            <w:pPr>
              <w:rPr>
                <w:rFonts w:cs="Arial"/>
                <w:sz w:val="20"/>
              </w:rPr>
            </w:pPr>
          </w:p>
          <w:p w14:paraId="005CBB93" w14:textId="77777777" w:rsidR="0004748C" w:rsidRPr="0004748C" w:rsidRDefault="0004748C" w:rsidP="0004748C">
            <w:pPr>
              <w:pStyle w:val="AufzhlungBuchstabeFett"/>
              <w:rPr>
                <w:rFonts w:ascii="Arial" w:hAnsi="Arial" w:cs="Arial"/>
                <w:szCs w:val="20"/>
              </w:rPr>
            </w:pPr>
            <w:r>
              <w:rPr>
                <w:rFonts w:ascii="Arial" w:hAnsi="Arial"/>
              </w:rPr>
              <w:t>Zinc oxide</w:t>
            </w:r>
          </w:p>
          <w:p w14:paraId="0094A1CA" w14:textId="0B196EA4" w:rsidR="0004748C" w:rsidRPr="00B91930" w:rsidRDefault="0004748C" w:rsidP="0004748C">
            <w:pPr>
              <w:rPr>
                <w:rFonts w:cs="Arial"/>
                <w:sz w:val="20"/>
              </w:rPr>
            </w:pPr>
            <w:r w:rsidRPr="00B91930">
              <w:rPr>
                <w:sz w:val="20"/>
              </w:rPr>
              <w:t>The use of zinc oxide as an auxiliary agent (e.g. pigment, UV absorber, catalyst) is only permitted  if the requirements for the classification of the product in</w:t>
            </w:r>
            <w:r w:rsidR="00B91930" w:rsidRPr="00B91930">
              <w:rPr>
                <w:sz w:val="20"/>
              </w:rPr>
              <w:t xml:space="preserve"> 3.2.1</w:t>
            </w:r>
            <w:r w:rsidRPr="00B91930">
              <w:rPr>
                <w:sz w:val="20"/>
              </w:rPr>
              <w:t xml:space="preserve"> are observed.</w:t>
            </w:r>
          </w:p>
          <w:p w14:paraId="610F7C61" w14:textId="77777777" w:rsidR="0004748C" w:rsidRPr="0004748C" w:rsidRDefault="0004748C" w:rsidP="0004748C">
            <w:pPr>
              <w:rPr>
                <w:rFonts w:cs="Arial"/>
                <w:sz w:val="20"/>
              </w:rPr>
            </w:pPr>
          </w:p>
          <w:p w14:paraId="2A236DB8" w14:textId="77777777" w:rsidR="0004748C" w:rsidRPr="0004748C" w:rsidRDefault="0004748C" w:rsidP="0004748C">
            <w:pPr>
              <w:pStyle w:val="AufzhlungBuchstabeFett"/>
              <w:rPr>
                <w:rFonts w:ascii="Arial" w:hAnsi="Arial" w:cs="Arial"/>
                <w:szCs w:val="20"/>
              </w:rPr>
            </w:pPr>
            <w:proofErr w:type="spellStart"/>
            <w:r>
              <w:rPr>
                <w:rFonts w:ascii="Arial" w:hAnsi="Arial"/>
              </w:rPr>
              <w:t>Expoxy</w:t>
            </w:r>
            <w:proofErr w:type="spellEnd"/>
            <w:r>
              <w:rPr>
                <w:rFonts w:ascii="Arial" w:hAnsi="Arial"/>
              </w:rPr>
              <w:t xml:space="preserve"> resin</w:t>
            </w:r>
          </w:p>
          <w:p w14:paraId="2C34E7CA" w14:textId="77777777" w:rsidR="0004748C" w:rsidRPr="0004748C" w:rsidRDefault="0004748C" w:rsidP="0004748C">
            <w:pPr>
              <w:rPr>
                <w:rFonts w:cs="Arial"/>
                <w:sz w:val="20"/>
              </w:rPr>
            </w:pPr>
            <w:r>
              <w:rPr>
                <w:sz w:val="20"/>
              </w:rPr>
              <w:t>The use of synthetic resins based on bisphenol A or similar bisphenol compounds is not permitted.</w:t>
            </w:r>
          </w:p>
          <w:p w14:paraId="04ACEFDA" w14:textId="77777777" w:rsidR="0004748C" w:rsidRPr="0004748C" w:rsidRDefault="0004748C" w:rsidP="0004748C">
            <w:pPr>
              <w:rPr>
                <w:rFonts w:cs="Arial"/>
                <w:sz w:val="20"/>
              </w:rPr>
            </w:pPr>
          </w:p>
          <w:p w14:paraId="797A2BE6" w14:textId="77777777" w:rsidR="0004748C" w:rsidRPr="0004748C" w:rsidRDefault="0004748C" w:rsidP="0004748C">
            <w:pPr>
              <w:pStyle w:val="AufzhlungBuchstabeFett"/>
              <w:rPr>
                <w:rFonts w:ascii="Arial" w:hAnsi="Arial" w:cs="Arial"/>
                <w:szCs w:val="20"/>
              </w:rPr>
            </w:pPr>
            <w:r>
              <w:rPr>
                <w:rFonts w:ascii="Arial" w:hAnsi="Arial"/>
              </w:rPr>
              <w:t>Nanomaterials</w:t>
            </w:r>
          </w:p>
          <w:p w14:paraId="5EF30F1D" w14:textId="77777777" w:rsidR="00804FA5" w:rsidRPr="0004748C" w:rsidRDefault="0004748C" w:rsidP="0004748C">
            <w:pPr>
              <w:rPr>
                <w:rFonts w:cs="Arial"/>
                <w:sz w:val="20"/>
              </w:rPr>
            </w:pPr>
            <w:r>
              <w:rPr>
                <w:sz w:val="20"/>
              </w:rPr>
              <w:t>The use of nanomaterials is not permitted.</w:t>
            </w:r>
          </w:p>
        </w:tc>
      </w:tr>
      <w:tr w:rsidR="00445C36" w:rsidRPr="002734B9" w14:paraId="3B6871A5" w14:textId="77777777" w:rsidTr="00445C36">
        <w:trPr>
          <w:trHeight w:val="283"/>
        </w:trPr>
        <w:tc>
          <w:tcPr>
            <w:tcW w:w="1139" w:type="dxa"/>
            <w:shd w:val="clear" w:color="auto" w:fill="F2F2F2" w:themeFill="background1" w:themeFillShade="F2"/>
          </w:tcPr>
          <w:p w14:paraId="2F315438" w14:textId="77777777" w:rsidR="00445C36" w:rsidRPr="002734B9" w:rsidRDefault="00445C36" w:rsidP="00EA1340">
            <w:pPr>
              <w:spacing w:line="276" w:lineRule="auto"/>
              <w:jc w:val="both"/>
              <w:rPr>
                <w:rFonts w:cs="Arial"/>
                <w:b/>
                <w:sz w:val="20"/>
              </w:rPr>
            </w:pPr>
            <w:r>
              <w:rPr>
                <w:b/>
                <w:sz w:val="20"/>
              </w:rPr>
              <w:lastRenderedPageBreak/>
              <w:t>3.1.5</w:t>
            </w:r>
          </w:p>
        </w:tc>
        <w:tc>
          <w:tcPr>
            <w:tcW w:w="13457" w:type="dxa"/>
            <w:gridSpan w:val="2"/>
            <w:shd w:val="clear" w:color="auto" w:fill="F2F2F2" w:themeFill="background1" w:themeFillShade="F2"/>
          </w:tcPr>
          <w:p w14:paraId="1278B29A" w14:textId="77777777" w:rsidR="00445C36" w:rsidRPr="00445C36" w:rsidRDefault="00445C36" w:rsidP="00EA1340">
            <w:pPr>
              <w:spacing w:line="276" w:lineRule="auto"/>
              <w:rPr>
                <w:rFonts w:cs="Arial"/>
                <w:b/>
                <w:sz w:val="20"/>
              </w:rPr>
            </w:pPr>
            <w:r>
              <w:rPr>
                <w:b/>
                <w:sz w:val="20"/>
              </w:rPr>
              <w:t>Intended release of substances</w:t>
            </w:r>
          </w:p>
        </w:tc>
      </w:tr>
      <w:tr w:rsidR="00804FA5" w:rsidRPr="002734B9" w14:paraId="52722E3D" w14:textId="77777777" w:rsidTr="00101D4D">
        <w:trPr>
          <w:trHeight w:val="283"/>
        </w:trPr>
        <w:tc>
          <w:tcPr>
            <w:tcW w:w="1139" w:type="dxa"/>
          </w:tcPr>
          <w:p w14:paraId="30DCAD85" w14:textId="77777777" w:rsidR="00804FA5" w:rsidRPr="002734B9" w:rsidRDefault="00804FA5" w:rsidP="00EA1340">
            <w:pPr>
              <w:spacing w:line="276" w:lineRule="auto"/>
              <w:jc w:val="both"/>
              <w:rPr>
                <w:rFonts w:cs="Arial"/>
                <w:b/>
                <w:sz w:val="20"/>
              </w:rPr>
            </w:pPr>
          </w:p>
        </w:tc>
        <w:tc>
          <w:tcPr>
            <w:tcW w:w="3676" w:type="dxa"/>
          </w:tcPr>
          <w:p w14:paraId="1CF99458" w14:textId="77777777" w:rsidR="00101D4D" w:rsidRDefault="00445C36" w:rsidP="00445C36">
            <w:pPr>
              <w:spacing w:line="276" w:lineRule="auto"/>
              <w:rPr>
                <w:rFonts w:cs="Arial"/>
                <w:sz w:val="20"/>
              </w:rPr>
            </w:pPr>
            <w:r>
              <w:rPr>
                <w:sz w:val="20"/>
              </w:rPr>
              <w:t xml:space="preserve">Coatings and adhesive films, cleanable hard coatings, </w:t>
            </w:r>
          </w:p>
          <w:p w14:paraId="2DBCC352" w14:textId="77777777" w:rsidR="00101D4D" w:rsidRDefault="00445C36" w:rsidP="00445C36">
            <w:pPr>
              <w:spacing w:line="276" w:lineRule="auto"/>
              <w:rPr>
                <w:rFonts w:cs="Arial"/>
                <w:sz w:val="20"/>
              </w:rPr>
            </w:pPr>
            <w:r>
              <w:rPr>
                <w:sz w:val="20"/>
              </w:rPr>
              <w:t xml:space="preserve">electrical processes with a special coating structure, </w:t>
            </w:r>
          </w:p>
          <w:p w14:paraId="3D9DE1FA" w14:textId="77777777" w:rsidR="00445C36" w:rsidRPr="00445C36" w:rsidRDefault="00445C36" w:rsidP="00445C36">
            <w:pPr>
              <w:spacing w:line="276" w:lineRule="auto"/>
              <w:rPr>
                <w:rFonts w:cs="Arial"/>
                <w:sz w:val="20"/>
              </w:rPr>
            </w:pPr>
            <w:r>
              <w:rPr>
                <w:sz w:val="20"/>
              </w:rPr>
              <w:t>underwater tarpaulins</w:t>
            </w:r>
          </w:p>
          <w:p w14:paraId="6CF30EB5" w14:textId="77777777" w:rsidR="00804FA5" w:rsidRPr="002734B9" w:rsidRDefault="00804FA5" w:rsidP="00EA1340">
            <w:pPr>
              <w:spacing w:line="276" w:lineRule="auto"/>
              <w:rPr>
                <w:rFonts w:cs="Arial"/>
                <w:sz w:val="20"/>
              </w:rPr>
            </w:pPr>
          </w:p>
        </w:tc>
        <w:tc>
          <w:tcPr>
            <w:tcW w:w="9781" w:type="dxa"/>
          </w:tcPr>
          <w:p w14:paraId="43881C42" w14:textId="77777777" w:rsidR="0004748C" w:rsidRPr="004C1753" w:rsidRDefault="0004748C" w:rsidP="004C1753">
            <w:pPr>
              <w:pStyle w:val="AufzhlungBuchstabeFett"/>
              <w:numPr>
                <w:ilvl w:val="8"/>
                <w:numId w:val="17"/>
              </w:numPr>
              <w:rPr>
                <w:rFonts w:ascii="Arial" w:hAnsi="Arial" w:cs="Arial"/>
                <w:szCs w:val="20"/>
              </w:rPr>
            </w:pPr>
            <w:r>
              <w:rPr>
                <w:rFonts w:ascii="Arial" w:hAnsi="Arial"/>
              </w:rPr>
              <w:t>Plastics</w:t>
            </w:r>
          </w:p>
          <w:p w14:paraId="57B0D609" w14:textId="77777777" w:rsidR="0004748C" w:rsidRDefault="0004748C" w:rsidP="0004748C">
            <w:pPr>
              <w:rPr>
                <w:rFonts w:cs="Arial"/>
                <w:sz w:val="20"/>
              </w:rPr>
            </w:pPr>
            <w:r>
              <w:rPr>
                <w:sz w:val="20"/>
              </w:rPr>
              <w:t>The intended release of plastics (such as microplastics) is not permitted. Eroding and self-polishing coatings are thus explicitly prohibited.</w:t>
            </w:r>
          </w:p>
          <w:p w14:paraId="360FEABE" w14:textId="77777777" w:rsidR="004C1753" w:rsidRPr="0004748C" w:rsidRDefault="004C1753" w:rsidP="0004748C">
            <w:pPr>
              <w:rPr>
                <w:rFonts w:cs="Arial"/>
                <w:sz w:val="20"/>
              </w:rPr>
            </w:pPr>
          </w:p>
          <w:p w14:paraId="1BAD3BD7" w14:textId="77777777" w:rsidR="0004748C" w:rsidRPr="0004748C" w:rsidRDefault="0004748C" w:rsidP="0004748C">
            <w:pPr>
              <w:rPr>
                <w:rFonts w:cs="Arial"/>
                <w:sz w:val="20"/>
              </w:rPr>
            </w:pPr>
          </w:p>
          <w:p w14:paraId="5FDD5F26" w14:textId="77777777" w:rsidR="0004748C" w:rsidRPr="0004748C" w:rsidRDefault="0004748C" w:rsidP="0004748C">
            <w:pPr>
              <w:pStyle w:val="AufzhlungBuchstabeFett"/>
              <w:rPr>
                <w:rFonts w:ascii="Arial" w:hAnsi="Arial" w:cs="Arial"/>
                <w:szCs w:val="20"/>
              </w:rPr>
            </w:pPr>
            <w:r>
              <w:rPr>
                <w:rFonts w:ascii="Arial" w:hAnsi="Arial"/>
              </w:rPr>
              <w:t>Silicone oils</w:t>
            </w:r>
          </w:p>
          <w:p w14:paraId="4A982FE9" w14:textId="77777777" w:rsidR="0004748C" w:rsidRPr="0004748C" w:rsidRDefault="0004748C" w:rsidP="0004748C">
            <w:pPr>
              <w:rPr>
                <w:rFonts w:cs="Arial"/>
                <w:sz w:val="20"/>
              </w:rPr>
            </w:pPr>
            <w:r>
              <w:rPr>
                <w:sz w:val="20"/>
              </w:rPr>
              <w:lastRenderedPageBreak/>
              <w:t>The use of silicone oils, which are designed to exude from coatings, is prohibited. Silicone oils that are approved for use in materials that come into contact with foodstuffs or which are classified as harmless to drinking water are exempt from this general ban on the use of silicone oils.</w:t>
            </w:r>
            <w:r w:rsidRPr="0004748C">
              <w:rPr>
                <w:rStyle w:val="Funotenzeichen"/>
                <w:rFonts w:cs="Arial"/>
                <w:sz w:val="20"/>
              </w:rPr>
              <w:footnoteReference w:id="5"/>
            </w:r>
            <w:r w:rsidRPr="0004748C">
              <w:rPr>
                <w:rStyle w:val="Funotenzeichen"/>
                <w:rFonts w:cs="Arial"/>
                <w:sz w:val="20"/>
              </w:rPr>
              <w:t xml:space="preserve"> </w:t>
            </w:r>
            <w:r>
              <w:rPr>
                <w:rStyle w:val="Funotenzeichen"/>
                <w:sz w:val="20"/>
              </w:rPr>
              <w:t xml:space="preserve"> </w:t>
            </w:r>
            <w:r w:rsidRPr="0004748C">
              <w:rPr>
                <w:rStyle w:val="Funotenzeichen"/>
                <w:rFonts w:cs="Arial"/>
                <w:sz w:val="20"/>
              </w:rPr>
              <w:footnoteReference w:id="6"/>
            </w:r>
          </w:p>
          <w:p w14:paraId="4B72E831" w14:textId="77777777" w:rsidR="0004748C" w:rsidRPr="0004748C" w:rsidRDefault="0004748C" w:rsidP="0004748C">
            <w:pPr>
              <w:rPr>
                <w:rFonts w:cs="Arial"/>
                <w:sz w:val="20"/>
              </w:rPr>
            </w:pPr>
          </w:p>
          <w:p w14:paraId="124284E2" w14:textId="77777777" w:rsidR="0004748C" w:rsidRPr="0004748C" w:rsidRDefault="0004748C" w:rsidP="0004748C">
            <w:pPr>
              <w:pStyle w:val="AufzhlungBuchstabeFett"/>
              <w:rPr>
                <w:rFonts w:ascii="Arial" w:hAnsi="Arial" w:cs="Arial"/>
                <w:szCs w:val="20"/>
              </w:rPr>
            </w:pPr>
            <w:r>
              <w:rPr>
                <w:rFonts w:ascii="Arial" w:hAnsi="Arial"/>
              </w:rPr>
              <w:t>Natural substances</w:t>
            </w:r>
          </w:p>
          <w:p w14:paraId="1CF086DB" w14:textId="77777777" w:rsidR="00804FA5" w:rsidRPr="0004748C" w:rsidRDefault="0004748C" w:rsidP="0004748C">
            <w:pPr>
              <w:rPr>
                <w:rFonts w:cs="Arial"/>
                <w:sz w:val="20"/>
              </w:rPr>
            </w:pPr>
            <w:r>
              <w:rPr>
                <w:sz w:val="20"/>
              </w:rPr>
              <w:t>The release of natural substances, which have not been chemically modified, such as waxes or greases with the aim of achieving a non-stick effect is generally only permitted if no polymer matrices are also released, as is the case with self-polishing or eroding coatings. The German Environment Agency will make a decision on whether the intended release of natural substances is permitted in each individual case.</w:t>
            </w:r>
          </w:p>
        </w:tc>
      </w:tr>
      <w:tr w:rsidR="00445C36" w:rsidRPr="002734B9" w14:paraId="539E35CD" w14:textId="77777777" w:rsidTr="00024678">
        <w:trPr>
          <w:trHeight w:val="283"/>
        </w:trPr>
        <w:tc>
          <w:tcPr>
            <w:tcW w:w="1139" w:type="dxa"/>
            <w:shd w:val="clear" w:color="auto" w:fill="F2F2F2" w:themeFill="background1" w:themeFillShade="F2"/>
          </w:tcPr>
          <w:p w14:paraId="0164BA39" w14:textId="77777777" w:rsidR="00445C36" w:rsidRPr="002734B9" w:rsidRDefault="00445C36" w:rsidP="00EA1340">
            <w:pPr>
              <w:spacing w:line="276" w:lineRule="auto"/>
              <w:jc w:val="both"/>
              <w:rPr>
                <w:rFonts w:cs="Arial"/>
                <w:b/>
                <w:sz w:val="20"/>
              </w:rPr>
            </w:pPr>
            <w:r>
              <w:rPr>
                <w:b/>
                <w:sz w:val="20"/>
              </w:rPr>
              <w:lastRenderedPageBreak/>
              <w:t>3.2.4</w:t>
            </w:r>
          </w:p>
        </w:tc>
        <w:tc>
          <w:tcPr>
            <w:tcW w:w="13457" w:type="dxa"/>
            <w:gridSpan w:val="2"/>
            <w:shd w:val="clear" w:color="auto" w:fill="F2F2F2" w:themeFill="background1" w:themeFillShade="F2"/>
          </w:tcPr>
          <w:p w14:paraId="1048CAF1" w14:textId="77777777" w:rsidR="00445C36" w:rsidRPr="00024678" w:rsidRDefault="00445C36" w:rsidP="00445C36">
            <w:pPr>
              <w:overflowPunct/>
              <w:autoSpaceDE/>
              <w:autoSpaceDN/>
              <w:adjustRightInd/>
              <w:spacing w:line="276" w:lineRule="auto"/>
              <w:jc w:val="both"/>
              <w:textAlignment w:val="auto"/>
              <w:rPr>
                <w:rFonts w:cs="Arial"/>
                <w:b/>
                <w:sz w:val="20"/>
              </w:rPr>
            </w:pPr>
            <w:r>
              <w:rPr>
                <w:b/>
                <w:sz w:val="20"/>
              </w:rPr>
              <w:t>Special system-specific requirements</w:t>
            </w:r>
          </w:p>
        </w:tc>
      </w:tr>
      <w:tr w:rsidR="00804FA5" w:rsidRPr="002734B9" w14:paraId="2E965134" w14:textId="77777777" w:rsidTr="00101D4D">
        <w:trPr>
          <w:trHeight w:val="283"/>
        </w:trPr>
        <w:tc>
          <w:tcPr>
            <w:tcW w:w="1139" w:type="dxa"/>
          </w:tcPr>
          <w:p w14:paraId="7782CBEE" w14:textId="77777777" w:rsidR="00804FA5" w:rsidRPr="002734B9" w:rsidRDefault="00804FA5" w:rsidP="00EA1340">
            <w:pPr>
              <w:spacing w:line="276" w:lineRule="auto"/>
              <w:jc w:val="both"/>
              <w:rPr>
                <w:rFonts w:cs="Arial"/>
                <w:b/>
                <w:sz w:val="20"/>
              </w:rPr>
            </w:pPr>
          </w:p>
        </w:tc>
        <w:tc>
          <w:tcPr>
            <w:tcW w:w="3676" w:type="dxa"/>
          </w:tcPr>
          <w:p w14:paraId="6FD65282" w14:textId="77777777" w:rsidR="00445C36" w:rsidRDefault="00445C36" w:rsidP="00445C36">
            <w:pPr>
              <w:spacing w:line="276" w:lineRule="auto"/>
              <w:rPr>
                <w:rFonts w:cs="Arial"/>
                <w:sz w:val="20"/>
              </w:rPr>
            </w:pPr>
            <w:r>
              <w:rPr>
                <w:sz w:val="20"/>
              </w:rPr>
              <w:t xml:space="preserve">Boat lifting systems, </w:t>
            </w:r>
          </w:p>
          <w:p w14:paraId="0C28388B" w14:textId="77777777" w:rsidR="00445C36" w:rsidRDefault="00445C36" w:rsidP="00445C36">
            <w:pPr>
              <w:spacing w:line="276" w:lineRule="auto"/>
              <w:rPr>
                <w:rFonts w:cs="Arial"/>
                <w:sz w:val="20"/>
              </w:rPr>
            </w:pPr>
            <w:r>
              <w:rPr>
                <w:sz w:val="20"/>
              </w:rPr>
              <w:t xml:space="preserve">mobile ship cleaning equipment, </w:t>
            </w:r>
          </w:p>
          <w:p w14:paraId="7E0DF4F3" w14:textId="77777777" w:rsidR="00445C36" w:rsidRPr="00445C36" w:rsidRDefault="00445C36" w:rsidP="00445C36">
            <w:pPr>
              <w:spacing w:line="276" w:lineRule="auto"/>
              <w:rPr>
                <w:rFonts w:cs="Arial"/>
                <w:sz w:val="20"/>
              </w:rPr>
            </w:pPr>
            <w:r>
              <w:rPr>
                <w:sz w:val="20"/>
              </w:rPr>
              <w:t>stationary ship cleaning equipment</w:t>
            </w:r>
          </w:p>
          <w:p w14:paraId="787B00EA" w14:textId="77777777" w:rsidR="00804FA5" w:rsidRPr="002734B9" w:rsidRDefault="00804FA5" w:rsidP="00EA1340">
            <w:pPr>
              <w:spacing w:line="276" w:lineRule="auto"/>
              <w:rPr>
                <w:rFonts w:cs="Arial"/>
                <w:sz w:val="20"/>
              </w:rPr>
            </w:pPr>
          </w:p>
        </w:tc>
        <w:tc>
          <w:tcPr>
            <w:tcW w:w="9781" w:type="dxa"/>
          </w:tcPr>
          <w:p w14:paraId="21DF0DEA" w14:textId="77777777" w:rsidR="00804FA5" w:rsidRPr="002734B9" w:rsidRDefault="00804FA5" w:rsidP="00EA1340">
            <w:pPr>
              <w:spacing w:line="276" w:lineRule="auto"/>
              <w:rPr>
                <w:rFonts w:cs="Arial"/>
                <w:b/>
                <w:sz w:val="20"/>
              </w:rPr>
            </w:pPr>
            <w:r>
              <w:rPr>
                <w:b/>
                <w:sz w:val="20"/>
              </w:rPr>
              <w:t>Boat lifting systems</w:t>
            </w:r>
          </w:p>
          <w:p w14:paraId="05259C0F" w14:textId="77777777" w:rsidR="00804FA5" w:rsidRPr="002734B9" w:rsidRDefault="00804FA5" w:rsidP="00EA1340">
            <w:pPr>
              <w:spacing w:line="276" w:lineRule="auto"/>
              <w:rPr>
                <w:rFonts w:cs="Arial"/>
                <w:sz w:val="20"/>
              </w:rPr>
            </w:pPr>
            <w:r>
              <w:rPr>
                <w:sz w:val="20"/>
              </w:rPr>
              <w:t>Floating systems can only be certified with the Blue Angel if the floating element is not coated with an antifouling coating containing biocides.</w:t>
            </w:r>
          </w:p>
          <w:p w14:paraId="0EE09AF5" w14:textId="77777777" w:rsidR="00804FA5" w:rsidRPr="002734B9" w:rsidRDefault="00804FA5" w:rsidP="00EA1340">
            <w:pPr>
              <w:spacing w:line="276" w:lineRule="auto"/>
              <w:rPr>
                <w:rFonts w:cs="Arial"/>
                <w:sz w:val="20"/>
              </w:rPr>
            </w:pPr>
          </w:p>
          <w:p w14:paraId="59A5629F" w14:textId="77777777" w:rsidR="00804FA5" w:rsidRPr="002734B9" w:rsidRDefault="00804FA5" w:rsidP="00EA1340">
            <w:pPr>
              <w:spacing w:line="276" w:lineRule="auto"/>
              <w:rPr>
                <w:rFonts w:cs="Arial"/>
                <w:b/>
                <w:sz w:val="20"/>
              </w:rPr>
            </w:pPr>
            <w:r>
              <w:rPr>
                <w:b/>
                <w:sz w:val="20"/>
              </w:rPr>
              <w:t>Mobile ship cleaning equipment</w:t>
            </w:r>
          </w:p>
          <w:p w14:paraId="38C561C0" w14:textId="77777777" w:rsidR="00E46921" w:rsidRPr="00E46921" w:rsidRDefault="00E46921" w:rsidP="00E46921">
            <w:pPr>
              <w:rPr>
                <w:sz w:val="20"/>
              </w:rPr>
            </w:pPr>
            <w:r>
              <w:rPr>
                <w:sz w:val="20"/>
              </w:rPr>
              <w:t>The equipment must have collection and filtration systems to sufficiently retain the cleaned fouling so that they do not pollute the body of water. The filtrate and the filter cake must be disposed of professionally. Any additional general or local regulations must also be observed.</w:t>
            </w:r>
          </w:p>
          <w:p w14:paraId="0743E37C" w14:textId="77777777" w:rsidR="00804FA5" w:rsidRPr="00E46921" w:rsidRDefault="00804FA5" w:rsidP="00EA1340">
            <w:pPr>
              <w:spacing w:line="276" w:lineRule="auto"/>
              <w:rPr>
                <w:rFonts w:cs="Arial"/>
                <w:sz w:val="20"/>
              </w:rPr>
            </w:pPr>
          </w:p>
          <w:p w14:paraId="527AD2A1" w14:textId="77777777" w:rsidR="00804FA5" w:rsidRPr="00E46921" w:rsidRDefault="00804FA5" w:rsidP="00E46921">
            <w:pPr>
              <w:rPr>
                <w:sz w:val="20"/>
              </w:rPr>
            </w:pPr>
            <w:bookmarkStart w:id="8" w:name="_Hlk84429289"/>
            <w:r>
              <w:rPr>
                <w:sz w:val="20"/>
              </w:rPr>
              <w:t xml:space="preserve">The applicant must verify that </w:t>
            </w:r>
            <w:bookmarkEnd w:id="8"/>
            <w:r>
              <w:rPr>
                <w:sz w:val="20"/>
              </w:rPr>
              <w:t>95 % of the fouling is collected and not released into the body of water.</w:t>
            </w:r>
          </w:p>
          <w:p w14:paraId="4CEF485F" w14:textId="77777777" w:rsidR="00804FA5" w:rsidRPr="002734B9" w:rsidRDefault="00804FA5" w:rsidP="00EA1340">
            <w:pPr>
              <w:spacing w:line="276" w:lineRule="auto"/>
              <w:rPr>
                <w:rFonts w:cs="Arial"/>
                <w:sz w:val="20"/>
              </w:rPr>
            </w:pPr>
          </w:p>
          <w:p w14:paraId="12B85535" w14:textId="77777777" w:rsidR="00804FA5" w:rsidRPr="002734B9" w:rsidRDefault="00804FA5" w:rsidP="00EA1340">
            <w:pPr>
              <w:spacing w:line="276" w:lineRule="auto"/>
              <w:rPr>
                <w:rFonts w:cs="Arial"/>
                <w:b/>
                <w:sz w:val="20"/>
              </w:rPr>
            </w:pPr>
            <w:r>
              <w:rPr>
                <w:b/>
                <w:sz w:val="20"/>
              </w:rPr>
              <w:t>Stationary ship cleaning equipment</w:t>
            </w:r>
          </w:p>
          <w:p w14:paraId="44A98CEC" w14:textId="77777777" w:rsidR="008E114D" w:rsidRPr="001F4734" w:rsidRDefault="008E114D" w:rsidP="001F4734">
            <w:pPr>
              <w:rPr>
                <w:sz w:val="20"/>
              </w:rPr>
            </w:pPr>
            <w:r>
              <w:rPr>
                <w:sz w:val="20"/>
              </w:rPr>
              <w:t>The equipment must have collection and filtration systems to sufficiently retain the cleaned fouling so that they do not pollute the body of water. The filtrate and the filter cake must be disposed of professionally. Any additional general or local regulations must also be observed.</w:t>
            </w:r>
          </w:p>
          <w:p w14:paraId="37901C31" w14:textId="77777777" w:rsidR="00804FA5" w:rsidRPr="002734B9" w:rsidRDefault="00804FA5" w:rsidP="00EA1340">
            <w:pPr>
              <w:pStyle w:val="AnhangAufzhlungBuchstabe"/>
              <w:numPr>
                <w:ilvl w:val="0"/>
                <w:numId w:val="0"/>
              </w:numPr>
              <w:spacing w:line="276" w:lineRule="auto"/>
              <w:rPr>
                <w:rFonts w:ascii="Arial" w:hAnsi="Arial" w:cs="Arial"/>
                <w:szCs w:val="20"/>
              </w:rPr>
            </w:pPr>
            <w:r>
              <w:rPr>
                <w:rFonts w:ascii="Arial" w:hAnsi="Arial"/>
              </w:rPr>
              <w:t>The applicant must verify that 95 % of the fouling is collected and not released into the body of water.</w:t>
            </w:r>
          </w:p>
        </w:tc>
      </w:tr>
      <w:tr w:rsidR="009442C2" w:rsidRPr="002734B9" w14:paraId="72F52E24" w14:textId="77777777" w:rsidTr="009442C2">
        <w:trPr>
          <w:trHeight w:val="283"/>
        </w:trPr>
        <w:tc>
          <w:tcPr>
            <w:tcW w:w="1139" w:type="dxa"/>
            <w:shd w:val="clear" w:color="auto" w:fill="F2F2F2" w:themeFill="background1" w:themeFillShade="F2"/>
          </w:tcPr>
          <w:p w14:paraId="57B603B8" w14:textId="77777777" w:rsidR="009442C2" w:rsidRPr="009442C2" w:rsidRDefault="009442C2" w:rsidP="00EA1340">
            <w:pPr>
              <w:spacing w:line="276" w:lineRule="auto"/>
              <w:jc w:val="both"/>
              <w:rPr>
                <w:rFonts w:cs="Arial"/>
                <w:b/>
                <w:sz w:val="20"/>
              </w:rPr>
            </w:pPr>
            <w:r>
              <w:rPr>
                <w:b/>
                <w:sz w:val="20"/>
              </w:rPr>
              <w:t>3.3</w:t>
            </w:r>
          </w:p>
        </w:tc>
        <w:tc>
          <w:tcPr>
            <w:tcW w:w="13457" w:type="dxa"/>
            <w:gridSpan w:val="2"/>
            <w:shd w:val="clear" w:color="auto" w:fill="F2F2F2" w:themeFill="background1" w:themeFillShade="F2"/>
          </w:tcPr>
          <w:p w14:paraId="7CB97CC9" w14:textId="77777777" w:rsidR="009442C2" w:rsidRPr="009442C2" w:rsidRDefault="009442C2" w:rsidP="00EA1340">
            <w:pPr>
              <w:spacing w:line="276" w:lineRule="auto"/>
              <w:rPr>
                <w:rFonts w:cs="Arial"/>
                <w:b/>
                <w:sz w:val="20"/>
              </w:rPr>
            </w:pPr>
            <w:r>
              <w:rPr>
                <w:b/>
                <w:sz w:val="20"/>
              </w:rPr>
              <w:t>Advertising messages</w:t>
            </w:r>
          </w:p>
        </w:tc>
      </w:tr>
      <w:tr w:rsidR="00804FA5" w:rsidRPr="002734B9" w14:paraId="51163404" w14:textId="77777777" w:rsidTr="00101D4D">
        <w:trPr>
          <w:trHeight w:val="283"/>
        </w:trPr>
        <w:tc>
          <w:tcPr>
            <w:tcW w:w="1139" w:type="dxa"/>
          </w:tcPr>
          <w:p w14:paraId="42F8167C" w14:textId="77777777" w:rsidR="00804FA5" w:rsidRPr="002734B9" w:rsidRDefault="00804FA5" w:rsidP="00EA1340">
            <w:pPr>
              <w:spacing w:line="276" w:lineRule="auto"/>
              <w:jc w:val="both"/>
              <w:rPr>
                <w:rFonts w:cs="Arial"/>
                <w:b/>
                <w:sz w:val="20"/>
              </w:rPr>
            </w:pPr>
          </w:p>
        </w:tc>
        <w:tc>
          <w:tcPr>
            <w:tcW w:w="3676" w:type="dxa"/>
          </w:tcPr>
          <w:p w14:paraId="4283732E" w14:textId="77777777" w:rsidR="00804FA5" w:rsidRPr="009442C2" w:rsidRDefault="009442C2" w:rsidP="00EA1340">
            <w:pPr>
              <w:spacing w:line="276" w:lineRule="auto"/>
              <w:rPr>
                <w:rFonts w:cs="Arial"/>
                <w:sz w:val="20"/>
              </w:rPr>
            </w:pPr>
            <w:r>
              <w:rPr>
                <w:sz w:val="20"/>
              </w:rPr>
              <w:t>ALL</w:t>
            </w:r>
          </w:p>
        </w:tc>
        <w:tc>
          <w:tcPr>
            <w:tcW w:w="9781" w:type="dxa"/>
          </w:tcPr>
          <w:p w14:paraId="47E68746" w14:textId="77777777" w:rsidR="00804FA5" w:rsidRPr="002734B9" w:rsidRDefault="00804FA5" w:rsidP="00EA1340">
            <w:pPr>
              <w:spacing w:line="276" w:lineRule="auto"/>
              <w:rPr>
                <w:rFonts w:cs="Arial"/>
                <w:sz w:val="20"/>
              </w:rPr>
            </w:pPr>
            <w:r>
              <w:rPr>
                <w:sz w:val="20"/>
              </w:rPr>
              <w:t>The type of underwater coating or antifouling system must be stated in combination with the product designation in a suitable location on the container or packaging.</w:t>
            </w:r>
          </w:p>
          <w:p w14:paraId="71E060EB" w14:textId="77777777" w:rsidR="00804FA5" w:rsidRPr="002734B9" w:rsidRDefault="00804FA5" w:rsidP="00EA1340">
            <w:pPr>
              <w:spacing w:line="276" w:lineRule="auto"/>
              <w:rPr>
                <w:rFonts w:cs="Arial"/>
                <w:sz w:val="20"/>
              </w:rPr>
            </w:pPr>
            <w:r>
              <w:rPr>
                <w:sz w:val="20"/>
              </w:rPr>
              <w:lastRenderedPageBreak/>
              <w:t>Advertising messages must not include claims in the sense of Article 25 (4) of the CLP Regulation (EC) No. 1272/2008) that could play down the risks such as e.g. “non-toxic”, “non-harmful to health” or similar claims.</w:t>
            </w:r>
          </w:p>
          <w:p w14:paraId="47F30511" w14:textId="77777777" w:rsidR="00804FA5" w:rsidRPr="002734B9" w:rsidRDefault="00804FA5" w:rsidP="00EA1340">
            <w:pPr>
              <w:spacing w:line="276" w:lineRule="auto"/>
              <w:rPr>
                <w:rFonts w:cs="Arial"/>
                <w:sz w:val="20"/>
              </w:rPr>
            </w:pPr>
            <w:r>
              <w:rPr>
                <w:sz w:val="20"/>
              </w:rPr>
              <w:t xml:space="preserve">Advertising messages that contain terms such as “Bio”, “Eco”, “Natural” or “Nano” etc. as part of the name or description are not permitted.  </w:t>
            </w:r>
          </w:p>
        </w:tc>
      </w:tr>
      <w:tr w:rsidR="006D6401" w:rsidRPr="002734B9" w14:paraId="4AF6E691" w14:textId="77777777" w:rsidTr="006D6401">
        <w:trPr>
          <w:trHeight w:val="283"/>
        </w:trPr>
        <w:tc>
          <w:tcPr>
            <w:tcW w:w="1139" w:type="dxa"/>
            <w:shd w:val="clear" w:color="auto" w:fill="F2F2F2" w:themeFill="background1" w:themeFillShade="F2"/>
          </w:tcPr>
          <w:p w14:paraId="5BD66B4C" w14:textId="77777777" w:rsidR="006D6401" w:rsidRPr="002734B9" w:rsidRDefault="006D6401" w:rsidP="00EA1340">
            <w:pPr>
              <w:spacing w:line="276" w:lineRule="auto"/>
              <w:jc w:val="both"/>
              <w:rPr>
                <w:rFonts w:cs="Arial"/>
                <w:b/>
                <w:sz w:val="20"/>
              </w:rPr>
            </w:pPr>
            <w:r>
              <w:rPr>
                <w:b/>
                <w:sz w:val="20"/>
              </w:rPr>
              <w:lastRenderedPageBreak/>
              <w:t>3.4</w:t>
            </w:r>
          </w:p>
        </w:tc>
        <w:tc>
          <w:tcPr>
            <w:tcW w:w="13457" w:type="dxa"/>
            <w:gridSpan w:val="2"/>
            <w:shd w:val="clear" w:color="auto" w:fill="F2F2F2" w:themeFill="background1" w:themeFillShade="F2"/>
          </w:tcPr>
          <w:p w14:paraId="4BDF2763" w14:textId="77777777" w:rsidR="006D6401" w:rsidRPr="006D6401" w:rsidRDefault="006D6401" w:rsidP="00EA1340">
            <w:pPr>
              <w:spacing w:line="276" w:lineRule="auto"/>
              <w:rPr>
                <w:rFonts w:cs="Arial"/>
                <w:b/>
                <w:sz w:val="20"/>
              </w:rPr>
            </w:pPr>
            <w:r>
              <w:rPr>
                <w:b/>
                <w:sz w:val="20"/>
              </w:rPr>
              <w:t>Consumer information</w:t>
            </w:r>
          </w:p>
        </w:tc>
      </w:tr>
      <w:tr w:rsidR="00804FA5" w:rsidRPr="002734B9" w14:paraId="3F6EB54C" w14:textId="77777777" w:rsidTr="00101D4D">
        <w:trPr>
          <w:trHeight w:val="283"/>
        </w:trPr>
        <w:tc>
          <w:tcPr>
            <w:tcW w:w="1139" w:type="dxa"/>
          </w:tcPr>
          <w:p w14:paraId="7CF82E33" w14:textId="77777777" w:rsidR="00804FA5" w:rsidRPr="002734B9" w:rsidRDefault="00804FA5" w:rsidP="00EA1340">
            <w:pPr>
              <w:spacing w:line="276" w:lineRule="auto"/>
              <w:jc w:val="both"/>
              <w:rPr>
                <w:rFonts w:cs="Arial"/>
                <w:b/>
                <w:sz w:val="20"/>
              </w:rPr>
            </w:pPr>
          </w:p>
        </w:tc>
        <w:tc>
          <w:tcPr>
            <w:tcW w:w="3676" w:type="dxa"/>
          </w:tcPr>
          <w:p w14:paraId="58115F73" w14:textId="77777777" w:rsidR="00804FA5" w:rsidRPr="00637763" w:rsidRDefault="00637763" w:rsidP="00EA1340">
            <w:pPr>
              <w:spacing w:line="276" w:lineRule="auto"/>
              <w:rPr>
                <w:rFonts w:cs="Arial"/>
                <w:sz w:val="20"/>
              </w:rPr>
            </w:pPr>
            <w:r>
              <w:rPr>
                <w:sz w:val="20"/>
              </w:rPr>
              <w:t>ALL</w:t>
            </w:r>
          </w:p>
        </w:tc>
        <w:tc>
          <w:tcPr>
            <w:tcW w:w="9781" w:type="dxa"/>
          </w:tcPr>
          <w:p w14:paraId="2D87A19C" w14:textId="77777777" w:rsidR="00804FA5" w:rsidRPr="00183CCD" w:rsidRDefault="00804FA5" w:rsidP="00EA1340">
            <w:pPr>
              <w:spacing w:line="276" w:lineRule="auto"/>
              <w:rPr>
                <w:rFonts w:cs="Arial"/>
                <w:sz w:val="20"/>
              </w:rPr>
            </w:pPr>
            <w:r w:rsidRPr="00183CCD">
              <w:rPr>
                <w:sz w:val="20"/>
              </w:rPr>
              <w:t xml:space="preserve">The applicant must enclose the product information that is designed to guarantee the safe use of the product and which contains all important information on the operation and use of the product. The system-specific requirements in Paragraphs 3.4.1 to 3.4.3 also apply. A note must be added to the product to indicate that this product may only be used on the exterior of the hull. </w:t>
            </w:r>
          </w:p>
          <w:p w14:paraId="474FA78D" w14:textId="77777777" w:rsidR="00804FA5" w:rsidRPr="00183CCD" w:rsidRDefault="00804FA5" w:rsidP="00EA1340">
            <w:pPr>
              <w:spacing w:line="276" w:lineRule="auto"/>
              <w:jc w:val="both"/>
              <w:rPr>
                <w:rFonts w:cs="Arial"/>
                <w:sz w:val="20"/>
              </w:rPr>
            </w:pPr>
          </w:p>
          <w:p w14:paraId="55DBA9CF" w14:textId="77777777" w:rsidR="00804FA5" w:rsidRPr="00183CCD" w:rsidRDefault="00804FA5" w:rsidP="00EA1340">
            <w:pPr>
              <w:spacing w:line="276" w:lineRule="auto"/>
              <w:jc w:val="both"/>
              <w:rPr>
                <w:rFonts w:cs="Arial"/>
                <w:b/>
                <w:sz w:val="20"/>
              </w:rPr>
            </w:pPr>
            <w:r w:rsidRPr="00183CCD">
              <w:rPr>
                <w:b/>
                <w:sz w:val="20"/>
              </w:rPr>
              <w:t>Coatings</w:t>
            </w:r>
          </w:p>
          <w:p w14:paraId="670E3F04" w14:textId="77777777" w:rsidR="00804FA5" w:rsidRPr="00183CCD" w:rsidRDefault="00804FA5" w:rsidP="00EA1340">
            <w:pPr>
              <w:spacing w:line="276" w:lineRule="auto"/>
              <w:rPr>
                <w:rFonts w:cs="Arial"/>
                <w:sz w:val="20"/>
              </w:rPr>
            </w:pPr>
            <w:r w:rsidRPr="00183CCD">
              <w:rPr>
                <w:sz w:val="20"/>
              </w:rPr>
              <w:t>The main components of the coating system must be stated on the container and in the technical data sheet. If the product is a multi-layer system, all of the layers must be named. In addition to the obligatory P-phrases in accordance with the CLP Regulation (EC) No. 1272/2008, the following must also be stated in an easy to read form (comparable wording / P-phrases are permitted):</w:t>
            </w:r>
          </w:p>
          <w:p w14:paraId="28946DF9" w14:textId="77777777" w:rsidR="00804FA5" w:rsidRPr="00183CCD" w:rsidRDefault="00804FA5" w:rsidP="00EA1340">
            <w:pPr>
              <w:spacing w:line="276" w:lineRule="auto"/>
              <w:rPr>
                <w:rFonts w:cs="Arial"/>
                <w:sz w:val="20"/>
              </w:rPr>
            </w:pPr>
            <w:r w:rsidRPr="00183CCD">
              <w:rPr>
                <w:sz w:val="20"/>
              </w:rPr>
              <w:t>• “Keep out of the reach of children”</w:t>
            </w:r>
          </w:p>
          <w:p w14:paraId="614BA40D" w14:textId="77777777" w:rsidR="00804FA5" w:rsidRPr="00183CCD" w:rsidRDefault="00804FA5" w:rsidP="00EA1340">
            <w:pPr>
              <w:spacing w:line="276" w:lineRule="auto"/>
              <w:rPr>
                <w:rFonts w:cs="Arial"/>
                <w:sz w:val="20"/>
              </w:rPr>
            </w:pPr>
            <w:r w:rsidRPr="00183CCD">
              <w:rPr>
                <w:sz w:val="20"/>
              </w:rPr>
              <w:t>• “Ensure good ventilation during application and drying”</w:t>
            </w:r>
          </w:p>
          <w:p w14:paraId="2DE16236" w14:textId="77777777" w:rsidR="00804FA5" w:rsidRPr="00183CCD" w:rsidRDefault="00804FA5" w:rsidP="00EA1340">
            <w:pPr>
              <w:spacing w:line="276" w:lineRule="auto"/>
              <w:rPr>
                <w:rFonts w:cs="Arial"/>
                <w:sz w:val="20"/>
              </w:rPr>
            </w:pPr>
            <w:r w:rsidRPr="00183CCD">
              <w:rPr>
                <w:sz w:val="20"/>
              </w:rPr>
              <w:t>• “Do not eat, drink or smoke when applying this product”</w:t>
            </w:r>
          </w:p>
          <w:p w14:paraId="3A818324" w14:textId="77777777" w:rsidR="00804FA5" w:rsidRPr="00183CCD" w:rsidRDefault="00804FA5" w:rsidP="00EA1340">
            <w:pPr>
              <w:spacing w:line="276" w:lineRule="auto"/>
              <w:rPr>
                <w:rFonts w:cs="Arial"/>
                <w:sz w:val="20"/>
              </w:rPr>
            </w:pPr>
            <w:r w:rsidRPr="00183CCD">
              <w:rPr>
                <w:sz w:val="20"/>
              </w:rPr>
              <w:t>• “In case of contact with skin or eyes, rinse immediately with plenty of water”</w:t>
            </w:r>
          </w:p>
          <w:p w14:paraId="1590C789" w14:textId="77777777" w:rsidR="00804FA5" w:rsidRPr="00183CCD" w:rsidRDefault="00804FA5" w:rsidP="00EA1340">
            <w:pPr>
              <w:spacing w:line="276" w:lineRule="auto"/>
              <w:rPr>
                <w:rFonts w:cs="Arial"/>
                <w:sz w:val="20"/>
              </w:rPr>
            </w:pPr>
            <w:r w:rsidRPr="00183CCD">
              <w:rPr>
                <w:sz w:val="20"/>
              </w:rPr>
              <w:t>• “Dispose of the contents/container in accordance with the local regulations for waste disposal”</w:t>
            </w:r>
          </w:p>
          <w:p w14:paraId="6E4382DF" w14:textId="77777777" w:rsidR="00804FA5" w:rsidRPr="00183CCD" w:rsidRDefault="00804FA5" w:rsidP="00EA1340">
            <w:pPr>
              <w:spacing w:line="276" w:lineRule="auto"/>
              <w:jc w:val="both"/>
              <w:rPr>
                <w:rFonts w:cs="Arial"/>
                <w:sz w:val="20"/>
              </w:rPr>
            </w:pPr>
          </w:p>
          <w:p w14:paraId="2F009661" w14:textId="77777777" w:rsidR="00804FA5" w:rsidRPr="00183CCD" w:rsidRDefault="00804FA5" w:rsidP="00EA1340">
            <w:pPr>
              <w:spacing w:line="276" w:lineRule="auto"/>
              <w:jc w:val="both"/>
              <w:rPr>
                <w:rFonts w:cs="Arial"/>
                <w:b/>
                <w:sz w:val="20"/>
              </w:rPr>
            </w:pPr>
            <w:r w:rsidRPr="00183CCD">
              <w:rPr>
                <w:b/>
                <w:sz w:val="20"/>
              </w:rPr>
              <w:t>Cleanable hard coatings</w:t>
            </w:r>
          </w:p>
          <w:p w14:paraId="4495DA55" w14:textId="77777777" w:rsidR="001F4734" w:rsidRPr="00183CCD" w:rsidRDefault="001F4734" w:rsidP="001F4734">
            <w:pPr>
              <w:rPr>
                <w:sz w:val="20"/>
              </w:rPr>
            </w:pPr>
            <w:r w:rsidRPr="00183CCD">
              <w:rPr>
                <w:sz w:val="20"/>
              </w:rPr>
              <w:t>Information must be included with the cleanable hard coatings to explain that these coatings are only effective in combination with regular cleaning. In addition, these products must include recommendations for cleaning intervals and suitable cleaning processes in different types of water and for different activity profiles. The information should include a recommendation that a control panel is hung at the mooring so that the extent of the fouling can be observed more easily.</w:t>
            </w:r>
          </w:p>
          <w:p w14:paraId="43E5D994" w14:textId="77777777" w:rsidR="00804FA5" w:rsidRPr="00183CCD" w:rsidRDefault="00804FA5" w:rsidP="00EA1340">
            <w:pPr>
              <w:spacing w:line="276" w:lineRule="auto"/>
              <w:jc w:val="both"/>
              <w:rPr>
                <w:rFonts w:cs="Arial"/>
                <w:sz w:val="20"/>
              </w:rPr>
            </w:pPr>
          </w:p>
          <w:p w14:paraId="63D8CF6A" w14:textId="77777777" w:rsidR="00804FA5" w:rsidRPr="00183CCD" w:rsidRDefault="00804FA5" w:rsidP="00EA1340">
            <w:pPr>
              <w:spacing w:line="276" w:lineRule="auto"/>
              <w:rPr>
                <w:rFonts w:cs="Arial"/>
                <w:sz w:val="20"/>
              </w:rPr>
            </w:pPr>
            <w:r w:rsidRPr="00183CCD">
              <w:rPr>
                <w:b/>
                <w:sz w:val="20"/>
              </w:rPr>
              <w:t>Mobile ship cleaning equipment and stationary ship cleaning equipment</w:t>
            </w:r>
          </w:p>
          <w:p w14:paraId="0F9A0EBF" w14:textId="77777777" w:rsidR="00C12399" w:rsidRPr="00183CCD" w:rsidRDefault="00C12399" w:rsidP="00C12399">
            <w:pPr>
              <w:rPr>
                <w:sz w:val="20"/>
              </w:rPr>
            </w:pPr>
            <w:r w:rsidRPr="00183CCD">
              <w:rPr>
                <w:sz w:val="20"/>
              </w:rPr>
              <w:t>A clearly legible note must be displayed in a suitable location to indicate that the use of the cleaning process with antifouling coatings containing biocides is prohibited in Germany without approval from the relevant authorities because environmentally damaging biocides could be released into the body of water.</w:t>
            </w:r>
          </w:p>
          <w:p w14:paraId="243464D1" w14:textId="77777777" w:rsidR="00C12399" w:rsidRPr="00C12399" w:rsidRDefault="00C12399" w:rsidP="00C12399">
            <w:pPr>
              <w:rPr>
                <w:sz w:val="20"/>
              </w:rPr>
            </w:pPr>
            <w:r>
              <w:rPr>
                <w:sz w:val="20"/>
              </w:rPr>
              <w:lastRenderedPageBreak/>
              <w:t xml:space="preserve">The note must also indicate that removal of fouling in the water is not permitted if the removed fouling cannot be collected and properly disposed of and if the cleaning water is not purified using suitable treatment processes. </w:t>
            </w:r>
          </w:p>
          <w:p w14:paraId="090C7EF2" w14:textId="77777777" w:rsidR="00804FA5" w:rsidRPr="00C12399" w:rsidRDefault="00C12399" w:rsidP="00C12399">
            <w:r>
              <w:rPr>
                <w:sz w:val="20"/>
              </w:rPr>
              <w:t>The mobile ship cleaning equipment must be sold together with a cleaning guide that indicates in which types of water the equipment is effective and on what type of coatings the equipment works and also includes precise cleaning instructions and information on the different cleaning intervals depending on the type of water. In addition, the guide should include instructions for maintaining a reporting log in which the dates, locations and number of cleaning processes can be documented. Furthermore, the guide should recommend that additional test panels are hung at the mooring so that the fouling on the test panel can be used to assess whether the ship needs to be cleaned.</w:t>
            </w:r>
          </w:p>
        </w:tc>
      </w:tr>
    </w:tbl>
    <w:p w14:paraId="152E04F8" w14:textId="77777777" w:rsidR="00D87E75" w:rsidRPr="004B7B3A" w:rsidRDefault="00D87E75" w:rsidP="000343BE">
      <w:pPr>
        <w:jc w:val="both"/>
        <w:rPr>
          <w:rFonts w:cs="Arial"/>
          <w:szCs w:val="22"/>
        </w:rPr>
      </w:pPr>
    </w:p>
    <w:p w14:paraId="21816833" w14:textId="77777777" w:rsidR="00D87E75" w:rsidRPr="004B7B3A" w:rsidRDefault="00D87E75" w:rsidP="000343BE">
      <w:pPr>
        <w:jc w:val="both"/>
        <w:rPr>
          <w:rFonts w:cs="Arial"/>
          <w:szCs w:val="22"/>
        </w:rPr>
      </w:pPr>
    </w:p>
    <w:p w14:paraId="7C8738A7" w14:textId="77777777" w:rsidR="00D41A9A" w:rsidRPr="004B7B3A" w:rsidRDefault="00D41A9A" w:rsidP="000818D8">
      <w:pPr>
        <w:tabs>
          <w:tab w:val="left" w:pos="851"/>
        </w:tabs>
        <w:rPr>
          <w:rFonts w:cs="Arial"/>
          <w:szCs w:val="22"/>
        </w:rPr>
      </w:pPr>
    </w:p>
    <w:sectPr w:rsidR="00D41A9A" w:rsidRPr="004B7B3A" w:rsidSect="00804FA5">
      <w:headerReference w:type="default" r:id="rId7"/>
      <w:footerReference w:type="default" r:id="rId8"/>
      <w:type w:val="continuous"/>
      <w:pgSz w:w="16840" w:h="11907" w:orient="landscape" w:code="9"/>
      <w:pgMar w:top="1418" w:right="1531" w:bottom="1276"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56A6C" w14:textId="77777777" w:rsidR="00116991" w:rsidRDefault="00116991">
      <w:r>
        <w:separator/>
      </w:r>
    </w:p>
  </w:endnote>
  <w:endnote w:type="continuationSeparator" w:id="0">
    <w:p w14:paraId="59422DA8" w14:textId="77777777" w:rsidR="00116991" w:rsidRDefault="0011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5CD17" w14:textId="77777777" w:rsidR="000343BE" w:rsidRDefault="000343BE" w:rsidP="00101D4D">
    <w:pPr>
      <w:pStyle w:val="Fuzeile"/>
      <w:tabs>
        <w:tab w:val="clear" w:pos="4536"/>
        <w:tab w:val="clear" w:pos="9072"/>
        <w:tab w:val="center" w:pos="6521"/>
      </w:tabs>
      <w:ind w:right="360"/>
    </w:pPr>
    <w:r>
      <w:t>Annex 1 to the contract</w:t>
    </w:r>
    <w:r>
      <w:tab/>
    </w:r>
    <w:r>
      <w:tab/>
    </w:r>
    <w:r w:rsidRPr="000E4C21">
      <w:rPr>
        <w:rStyle w:val="Seitenzahl"/>
        <w:rFonts w:cs="Arial"/>
      </w:rPr>
      <w:fldChar w:fldCharType="begin"/>
    </w:r>
    <w:r w:rsidRPr="000E4C21">
      <w:rPr>
        <w:rStyle w:val="Seitenzahl"/>
        <w:rFonts w:cs="Arial"/>
      </w:rPr>
      <w:instrText xml:space="preserve"> PAGE </w:instrText>
    </w:r>
    <w:r w:rsidRPr="000E4C21">
      <w:rPr>
        <w:rStyle w:val="Seitenzahl"/>
        <w:rFonts w:cs="Arial"/>
      </w:rPr>
      <w:fldChar w:fldCharType="separate"/>
    </w:r>
    <w:r w:rsidR="00CF723D">
      <w:rPr>
        <w:rStyle w:val="Seitenzahl"/>
        <w:rFonts w:cs="Arial"/>
      </w:rPr>
      <w:t>2</w:t>
    </w:r>
    <w:r w:rsidRPr="000E4C21">
      <w:rPr>
        <w:rStyle w:val="Seitenzahl"/>
        <w:rFonts w:cs="Arial"/>
      </w:rPr>
      <w:fldChar w:fldCharType="end"/>
    </w:r>
    <w:r>
      <w:t>/</w:t>
    </w:r>
    <w:r w:rsidR="008938F3">
      <w:rPr>
        <w:rFonts w:cs="Arial"/>
      </w:rPr>
      <w:fldChar w:fldCharType="begin"/>
    </w:r>
    <w:r w:rsidR="008938F3">
      <w:rPr>
        <w:rFonts w:cs="Arial"/>
      </w:rPr>
      <w:instrText xml:space="preserve"> NUMPAGES  \* Arabic  \* MERGEFORMAT </w:instrText>
    </w:r>
    <w:r w:rsidR="008938F3">
      <w:rPr>
        <w:rFonts w:cs="Arial"/>
      </w:rPr>
      <w:fldChar w:fldCharType="separate"/>
    </w:r>
    <w:r w:rsidR="00CF723D">
      <w:rPr>
        <w:rFonts w:cs="Arial"/>
      </w:rPr>
      <w:t>2</w:t>
    </w:r>
    <w:r w:rsidR="008938F3">
      <w:rPr>
        <w:rFonts w:cs="Arial"/>
      </w:rPr>
      <w:fldChar w:fldCharType="end"/>
    </w:r>
    <w:r>
      <w:tab/>
    </w:r>
    <w:r>
      <w:tab/>
    </w:r>
    <w:r>
      <w:tab/>
    </w:r>
    <w:r>
      <w:tab/>
      <w:t xml:space="preserve">         DE-UZ 221 Edition </w:t>
    </w:r>
    <w:r>
      <w:rPr>
        <w:rStyle w:val="Seitenzahl"/>
      </w:rPr>
      <w:t>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73B81" w14:textId="77777777" w:rsidR="00116991" w:rsidRDefault="00116991">
      <w:r>
        <w:separator/>
      </w:r>
    </w:p>
  </w:footnote>
  <w:footnote w:type="continuationSeparator" w:id="0">
    <w:p w14:paraId="3D4541E7" w14:textId="77777777" w:rsidR="00116991" w:rsidRDefault="00116991">
      <w:r>
        <w:continuationSeparator/>
      </w:r>
    </w:p>
  </w:footnote>
  <w:footnote w:id="1">
    <w:p w14:paraId="6937CEDE" w14:textId="77777777" w:rsidR="004F5CCD" w:rsidRDefault="004F5CCD" w:rsidP="004F5CCD">
      <w:pPr>
        <w:pStyle w:val="Funotentext"/>
      </w:pPr>
      <w:r>
        <w:rPr>
          <w:rStyle w:val="Funotenzeichen"/>
        </w:rPr>
        <w:footnoteRef/>
      </w:r>
      <w:r>
        <w:t xml:space="preserve"> </w:t>
      </w:r>
      <w:r>
        <w:tab/>
        <w:t xml:space="preserve">The version of the list of candidates at the time of application is valid. It can be found at: </w:t>
      </w:r>
      <w:hyperlink r:id="rId1" w:history="1">
        <w:r>
          <w:rPr>
            <w:rStyle w:val="Hyperlink"/>
          </w:rPr>
          <w:t>https://www.echa.europa.eu/candidate-list-table</w:t>
        </w:r>
      </w:hyperlink>
      <w:r>
        <w:t>.</w:t>
      </w:r>
    </w:p>
  </w:footnote>
  <w:footnote w:id="2">
    <w:p w14:paraId="1D080CD7" w14:textId="77777777" w:rsidR="004F5CCD" w:rsidRDefault="004F5CCD" w:rsidP="004F5CCD">
      <w:pPr>
        <w:pStyle w:val="Funotentext"/>
      </w:pPr>
      <w:r>
        <w:rPr>
          <w:rStyle w:val="Funotenzeichen"/>
        </w:rPr>
        <w:footnoteRef/>
      </w:r>
      <w:r>
        <w:t xml:space="preserve"> </w:t>
      </w:r>
      <w:r>
        <w:tab/>
        <w:t xml:space="preserve">The harmonized classifications and </w:t>
      </w:r>
      <w:proofErr w:type="spellStart"/>
      <w:r>
        <w:t>labellings</w:t>
      </w:r>
      <w:proofErr w:type="spellEnd"/>
      <w:r>
        <w:t xml:space="preserve"> of hazardous substances can be found in Annex VI, Part 3 of the CLP Regulation. Furthermore, a comprehensive classification and labelling inventory, which also includes all of the self-classifications of hazardous substances made by manufacturers, has been made available to the public on the website of the European Chemicals Agency: </w:t>
      </w:r>
      <w:hyperlink r:id="rId2" w:history="1">
        <w:r>
          <w:rPr>
            <w:rStyle w:val="Hyperlink"/>
          </w:rPr>
          <w:t>https://echa.europa.eu/de/regulations/clp/cl-inventory</w:t>
        </w:r>
      </w:hyperlink>
      <w:r>
        <w:t>.</w:t>
      </w:r>
    </w:p>
  </w:footnote>
  <w:footnote w:id="3">
    <w:p w14:paraId="58E1670D" w14:textId="77777777" w:rsidR="0051049E" w:rsidRDefault="0051049E" w:rsidP="0051049E">
      <w:pPr>
        <w:pStyle w:val="Funotentext"/>
      </w:pPr>
      <w:r>
        <w:rPr>
          <w:rStyle w:val="Funotenzeichen"/>
        </w:rPr>
        <w:footnoteRef/>
      </w:r>
      <w:r>
        <w:t xml:space="preserve"> </w:t>
      </w:r>
      <w:r>
        <w:tab/>
        <w:t xml:space="preserve">Based on </w:t>
      </w:r>
      <w:proofErr w:type="spellStart"/>
      <w:r>
        <w:t>ChemVOCFarbV</w:t>
      </w:r>
      <w:proofErr w:type="spellEnd"/>
      <w:r>
        <w:t xml:space="preserve"> (2004), which contains VOC limits of 130 g/L (water-based) and 300 g/L (solvent-based) for coatings for wood, metal or plastic.</w:t>
      </w:r>
    </w:p>
  </w:footnote>
  <w:footnote w:id="4">
    <w:p w14:paraId="5A3B3A7C" w14:textId="77777777" w:rsidR="0051049E" w:rsidRDefault="0051049E" w:rsidP="0051049E">
      <w:pPr>
        <w:pStyle w:val="Funotentext"/>
      </w:pPr>
      <w:r>
        <w:rPr>
          <w:rStyle w:val="Funotenzeichen"/>
        </w:rPr>
        <w:footnoteRef/>
      </w:r>
      <w:r>
        <w:t xml:space="preserve"> </w:t>
      </w:r>
      <w:r>
        <w:tab/>
        <w:t xml:space="preserve">Calculated using typical product formulations and their VOC content and application volumes. </w:t>
      </w:r>
    </w:p>
  </w:footnote>
  <w:footnote w:id="5">
    <w:p w14:paraId="2D3F7BF1" w14:textId="77777777" w:rsidR="0004748C" w:rsidRDefault="0004748C" w:rsidP="0004748C">
      <w:pPr>
        <w:pStyle w:val="Funotentext"/>
      </w:pPr>
      <w:r>
        <w:rPr>
          <w:rStyle w:val="Funotenzeichen"/>
        </w:rPr>
        <w:footnoteRef/>
      </w:r>
      <w:r>
        <w:t xml:space="preserve"> </w:t>
      </w:r>
      <w:r>
        <w:tab/>
        <w:t>Database “</w:t>
      </w:r>
      <w:proofErr w:type="spellStart"/>
      <w:r>
        <w:t>BfR</w:t>
      </w:r>
      <w:proofErr w:type="spellEnd"/>
      <w:r>
        <w:t xml:space="preserve"> Recommendations on Food Contact Materials”: XV. Silicone. Version as of 01/06/2019 </w:t>
      </w:r>
      <w:hyperlink r:id="rId3" w:history="1">
        <w:r>
          <w:rPr>
            <w:rStyle w:val="Hyperlink"/>
          </w:rPr>
          <w:t>https://bfr.ble.de/kse/faces/DBEmpfehlung.jsp</w:t>
        </w:r>
      </w:hyperlink>
      <w:r>
        <w:t xml:space="preserve"> (accessed on 07/09/2020)</w:t>
      </w:r>
    </w:p>
  </w:footnote>
  <w:footnote w:id="6">
    <w:p w14:paraId="77829EAB" w14:textId="77777777" w:rsidR="0004748C" w:rsidRDefault="0004748C" w:rsidP="0004748C">
      <w:pPr>
        <w:pStyle w:val="Funotentext"/>
      </w:pPr>
      <w:r>
        <w:rPr>
          <w:rStyle w:val="Funotenzeichen"/>
        </w:rPr>
        <w:footnoteRef/>
      </w:r>
      <w:r>
        <w:t xml:space="preserve"> </w:t>
      </w:r>
      <w:r>
        <w:tab/>
      </w:r>
      <w:hyperlink r:id="rId4" w:history="1">
        <w:r>
          <w:rPr>
            <w:rStyle w:val="Hyperlink"/>
          </w:rPr>
          <w:t>https://www.umweltbundesamt.de/sites/default/files/medien/5620/dokumente/silikon-uebergangsempfehlung_2._aenderung.pdf</w:t>
        </w:r>
      </w:hyperlink>
      <w:r>
        <w:t xml:space="preserve"> (accessed on 07/09/2020)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83376" w14:textId="77777777" w:rsidR="000343BE" w:rsidRDefault="00CF723D" w:rsidP="000343BE">
    <w:pPr>
      <w:pStyle w:val="Kopfzeile"/>
      <w:jc w:val="right"/>
    </w:pPr>
    <w:r>
      <w:rPr>
        <w:noProof/>
      </w:rPr>
      <w:drawing>
        <wp:inline distT="0" distB="0" distL="0" distR="0" wp14:anchorId="0B3596C0" wp14:editId="21E4FFD8">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617AB8"/>
    <w:multiLevelType w:val="hybridMultilevel"/>
    <w:tmpl w:val="2368C93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971BE0"/>
    <w:multiLevelType w:val="hybridMultilevel"/>
    <w:tmpl w:val="905E0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225D79CE"/>
    <w:multiLevelType w:val="hybridMultilevel"/>
    <w:tmpl w:val="1A58184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280A37D4"/>
    <w:multiLevelType w:val="hybridMultilevel"/>
    <w:tmpl w:val="E78C9D7E"/>
    <w:lvl w:ilvl="0" w:tplc="BF128F4E">
      <w:numFmt w:val="bullet"/>
      <w:lvlText w:val="-"/>
      <w:lvlJc w:val="left"/>
      <w:pPr>
        <w:ind w:left="1211" w:hanging="360"/>
      </w:pPr>
      <w:rPr>
        <w:rFonts w:ascii="Times New Roman" w:eastAsia="Times New Roman" w:hAnsi="Times New Roman"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305C6C1D"/>
    <w:multiLevelType w:val="hybridMultilevel"/>
    <w:tmpl w:val="E8FA5C9E"/>
    <w:lvl w:ilvl="0" w:tplc="BF128F4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49FD2648"/>
    <w:multiLevelType w:val="hybridMultilevel"/>
    <w:tmpl w:val="7F3A40EA"/>
    <w:lvl w:ilvl="0" w:tplc="5582B9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B442CD"/>
    <w:multiLevelType w:val="hybridMultilevel"/>
    <w:tmpl w:val="88106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5D6325"/>
    <w:multiLevelType w:val="hybridMultilevel"/>
    <w:tmpl w:val="712E54BA"/>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8A7261"/>
    <w:multiLevelType w:val="hybridMultilevel"/>
    <w:tmpl w:val="9DBA61E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4E6A25"/>
    <w:multiLevelType w:val="hybridMultilevel"/>
    <w:tmpl w:val="2796F024"/>
    <w:lvl w:ilvl="0" w:tplc="598CAF94">
      <w:start w:val="1"/>
      <w:numFmt w:val="bullet"/>
      <w:pStyle w:val="AufzhlungPunkt1"/>
      <w:lvlText w:val=""/>
      <w:lvlJc w:val="left"/>
      <w:pPr>
        <w:ind w:left="1572" w:hanging="360"/>
      </w:pPr>
      <w:rPr>
        <w:rFonts w:ascii="Symbol" w:hAnsi="Symbol" w:hint="default"/>
      </w:rPr>
    </w:lvl>
    <w:lvl w:ilvl="1" w:tplc="04070003">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4" w15:restartNumberingAfterBreak="0">
    <w:nsid w:val="7A672313"/>
    <w:multiLevelType w:val="hybridMultilevel"/>
    <w:tmpl w:val="1EFAB1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012C34"/>
    <w:multiLevelType w:val="hybridMultilevel"/>
    <w:tmpl w:val="9DBA61E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8"/>
  </w:num>
  <w:num w:numId="3">
    <w:abstractNumId w:val="5"/>
  </w:num>
  <w:num w:numId="4">
    <w:abstractNumId w:val="6"/>
  </w:num>
  <w:num w:numId="5">
    <w:abstractNumId w:val="7"/>
  </w:num>
  <w:num w:numId="6">
    <w:abstractNumId w:val="3"/>
  </w:num>
  <w:num w:numId="7">
    <w:abstractNumId w:val="13"/>
  </w:num>
  <w:num w:numId="8">
    <w:abstractNumId w:val="14"/>
  </w:num>
  <w:num w:numId="9">
    <w:abstractNumId w:val="11"/>
  </w:num>
  <w:num w:numId="10">
    <w:abstractNumId w:val="10"/>
  </w:num>
  <w:num w:numId="11">
    <w:abstractNumId w:val="9"/>
  </w:num>
  <w:num w:numId="12">
    <w:abstractNumId w:val="2"/>
  </w:num>
  <w:num w:numId="13">
    <w:abstractNumId w:val="12"/>
  </w:num>
  <w:num w:numId="14">
    <w:abstractNumId w:val="15"/>
  </w:num>
  <w:num w:numId="15">
    <w:abstractNumId w:val="1"/>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fGTDdWHVgb+vI5ba65KfFwyu3X56VaaqUv9UHUY64kyEDCnaec1CJSQAstd4V4bM65L7YT/w7LxZ4FH//cxjg==" w:salt="uvy9IGezmwECvmg4oBZA4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0130"/>
    <w:rsid w:val="00023FFD"/>
    <w:rsid w:val="00024678"/>
    <w:rsid w:val="00024D2A"/>
    <w:rsid w:val="00031C37"/>
    <w:rsid w:val="000322DC"/>
    <w:rsid w:val="000336E5"/>
    <w:rsid w:val="000337EB"/>
    <w:rsid w:val="000343BE"/>
    <w:rsid w:val="000349B9"/>
    <w:rsid w:val="000352CA"/>
    <w:rsid w:val="00040881"/>
    <w:rsid w:val="0004315D"/>
    <w:rsid w:val="00044032"/>
    <w:rsid w:val="0004748C"/>
    <w:rsid w:val="00047575"/>
    <w:rsid w:val="00051146"/>
    <w:rsid w:val="000570E8"/>
    <w:rsid w:val="00057A7E"/>
    <w:rsid w:val="00060160"/>
    <w:rsid w:val="00060221"/>
    <w:rsid w:val="00063962"/>
    <w:rsid w:val="0006627D"/>
    <w:rsid w:val="00072725"/>
    <w:rsid w:val="000740FE"/>
    <w:rsid w:val="00075311"/>
    <w:rsid w:val="00077406"/>
    <w:rsid w:val="000815AE"/>
    <w:rsid w:val="000818D8"/>
    <w:rsid w:val="00085AD1"/>
    <w:rsid w:val="00086EE7"/>
    <w:rsid w:val="000901DC"/>
    <w:rsid w:val="00091EF2"/>
    <w:rsid w:val="00092B9D"/>
    <w:rsid w:val="00095ED0"/>
    <w:rsid w:val="000A35CC"/>
    <w:rsid w:val="000A5108"/>
    <w:rsid w:val="000B33B5"/>
    <w:rsid w:val="000B5DDF"/>
    <w:rsid w:val="000B61F8"/>
    <w:rsid w:val="000B62A3"/>
    <w:rsid w:val="000C4C8C"/>
    <w:rsid w:val="000D104C"/>
    <w:rsid w:val="000D3A49"/>
    <w:rsid w:val="000D756B"/>
    <w:rsid w:val="000E203F"/>
    <w:rsid w:val="000E27AE"/>
    <w:rsid w:val="000E3BE7"/>
    <w:rsid w:val="000E3FF9"/>
    <w:rsid w:val="000E5EFC"/>
    <w:rsid w:val="000E60D8"/>
    <w:rsid w:val="000E7117"/>
    <w:rsid w:val="000F076C"/>
    <w:rsid w:val="000F1DDC"/>
    <w:rsid w:val="000F2ED8"/>
    <w:rsid w:val="00101D4D"/>
    <w:rsid w:val="00102688"/>
    <w:rsid w:val="00105E39"/>
    <w:rsid w:val="00106B61"/>
    <w:rsid w:val="00107296"/>
    <w:rsid w:val="00110406"/>
    <w:rsid w:val="00111059"/>
    <w:rsid w:val="0011107A"/>
    <w:rsid w:val="00111295"/>
    <w:rsid w:val="0011237F"/>
    <w:rsid w:val="00112EA0"/>
    <w:rsid w:val="001132C0"/>
    <w:rsid w:val="00116991"/>
    <w:rsid w:val="00117228"/>
    <w:rsid w:val="00120952"/>
    <w:rsid w:val="00122713"/>
    <w:rsid w:val="00122B8C"/>
    <w:rsid w:val="00137532"/>
    <w:rsid w:val="00137F85"/>
    <w:rsid w:val="0014704E"/>
    <w:rsid w:val="0015045F"/>
    <w:rsid w:val="0015188D"/>
    <w:rsid w:val="00152E45"/>
    <w:rsid w:val="001543CB"/>
    <w:rsid w:val="00155FEF"/>
    <w:rsid w:val="001626E9"/>
    <w:rsid w:val="00162A35"/>
    <w:rsid w:val="00163A2D"/>
    <w:rsid w:val="00164659"/>
    <w:rsid w:val="0016539C"/>
    <w:rsid w:val="00166473"/>
    <w:rsid w:val="0017411B"/>
    <w:rsid w:val="00175510"/>
    <w:rsid w:val="00176155"/>
    <w:rsid w:val="00177947"/>
    <w:rsid w:val="00180613"/>
    <w:rsid w:val="00183CCD"/>
    <w:rsid w:val="00184430"/>
    <w:rsid w:val="001859FD"/>
    <w:rsid w:val="00186C3C"/>
    <w:rsid w:val="001932DC"/>
    <w:rsid w:val="001936B6"/>
    <w:rsid w:val="00193DDD"/>
    <w:rsid w:val="00195D6C"/>
    <w:rsid w:val="001A3053"/>
    <w:rsid w:val="001A56CC"/>
    <w:rsid w:val="001A6B06"/>
    <w:rsid w:val="001B1B87"/>
    <w:rsid w:val="001B22C2"/>
    <w:rsid w:val="001B280C"/>
    <w:rsid w:val="001B3B15"/>
    <w:rsid w:val="001B411D"/>
    <w:rsid w:val="001B6408"/>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E3324"/>
    <w:rsid w:val="001F07A2"/>
    <w:rsid w:val="001F0CB6"/>
    <w:rsid w:val="001F1317"/>
    <w:rsid w:val="001F1C81"/>
    <w:rsid w:val="001F4734"/>
    <w:rsid w:val="001F48BE"/>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34A6"/>
    <w:rsid w:val="002734B9"/>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6FB9"/>
    <w:rsid w:val="002C7F4D"/>
    <w:rsid w:val="002D3032"/>
    <w:rsid w:val="002D3FE2"/>
    <w:rsid w:val="002D42FF"/>
    <w:rsid w:val="002D4D5E"/>
    <w:rsid w:val="002D4E70"/>
    <w:rsid w:val="002D7B8A"/>
    <w:rsid w:val="002E0790"/>
    <w:rsid w:val="002E2707"/>
    <w:rsid w:val="002E339A"/>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17E86"/>
    <w:rsid w:val="00323916"/>
    <w:rsid w:val="00324AB0"/>
    <w:rsid w:val="003308F4"/>
    <w:rsid w:val="00332749"/>
    <w:rsid w:val="003345CE"/>
    <w:rsid w:val="00334980"/>
    <w:rsid w:val="00335530"/>
    <w:rsid w:val="003363F0"/>
    <w:rsid w:val="003371F1"/>
    <w:rsid w:val="00337DE5"/>
    <w:rsid w:val="00342C0D"/>
    <w:rsid w:val="00346F3E"/>
    <w:rsid w:val="00352FBF"/>
    <w:rsid w:val="003548EB"/>
    <w:rsid w:val="00356883"/>
    <w:rsid w:val="003650F1"/>
    <w:rsid w:val="00365741"/>
    <w:rsid w:val="00366580"/>
    <w:rsid w:val="0037130D"/>
    <w:rsid w:val="00374D34"/>
    <w:rsid w:val="003819D5"/>
    <w:rsid w:val="0038204A"/>
    <w:rsid w:val="0038227B"/>
    <w:rsid w:val="00382BC1"/>
    <w:rsid w:val="00382D2A"/>
    <w:rsid w:val="003837CF"/>
    <w:rsid w:val="00386DE2"/>
    <w:rsid w:val="00390937"/>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B7015"/>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170A"/>
    <w:rsid w:val="003E6A03"/>
    <w:rsid w:val="003F0EF7"/>
    <w:rsid w:val="003F12C7"/>
    <w:rsid w:val="003F2D65"/>
    <w:rsid w:val="003F4380"/>
    <w:rsid w:val="003F6B9B"/>
    <w:rsid w:val="00402279"/>
    <w:rsid w:val="00402BE6"/>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5C36"/>
    <w:rsid w:val="004465D2"/>
    <w:rsid w:val="00446754"/>
    <w:rsid w:val="0045090C"/>
    <w:rsid w:val="00453C6F"/>
    <w:rsid w:val="00454A69"/>
    <w:rsid w:val="00456D28"/>
    <w:rsid w:val="00462B7E"/>
    <w:rsid w:val="0046349E"/>
    <w:rsid w:val="004653F1"/>
    <w:rsid w:val="00466253"/>
    <w:rsid w:val="00466F5C"/>
    <w:rsid w:val="00467A77"/>
    <w:rsid w:val="00467AF0"/>
    <w:rsid w:val="004726E2"/>
    <w:rsid w:val="004735CF"/>
    <w:rsid w:val="00476468"/>
    <w:rsid w:val="0047736A"/>
    <w:rsid w:val="0048398F"/>
    <w:rsid w:val="0048419F"/>
    <w:rsid w:val="00491165"/>
    <w:rsid w:val="00491B6D"/>
    <w:rsid w:val="004A069E"/>
    <w:rsid w:val="004A45E3"/>
    <w:rsid w:val="004A76F2"/>
    <w:rsid w:val="004B0385"/>
    <w:rsid w:val="004B4334"/>
    <w:rsid w:val="004B7350"/>
    <w:rsid w:val="004B7B3A"/>
    <w:rsid w:val="004B7E3B"/>
    <w:rsid w:val="004C1753"/>
    <w:rsid w:val="004C33C1"/>
    <w:rsid w:val="004D1C64"/>
    <w:rsid w:val="004D6F3B"/>
    <w:rsid w:val="004E27D6"/>
    <w:rsid w:val="004F5803"/>
    <w:rsid w:val="004F5CCD"/>
    <w:rsid w:val="005008C6"/>
    <w:rsid w:val="005035AF"/>
    <w:rsid w:val="005036C2"/>
    <w:rsid w:val="00507B79"/>
    <w:rsid w:val="0051049E"/>
    <w:rsid w:val="0051083A"/>
    <w:rsid w:val="005112A6"/>
    <w:rsid w:val="005140E2"/>
    <w:rsid w:val="00515171"/>
    <w:rsid w:val="00515663"/>
    <w:rsid w:val="005241F4"/>
    <w:rsid w:val="00524856"/>
    <w:rsid w:val="0052612C"/>
    <w:rsid w:val="005302FF"/>
    <w:rsid w:val="005306F2"/>
    <w:rsid w:val="00531A5D"/>
    <w:rsid w:val="00533DC1"/>
    <w:rsid w:val="00534902"/>
    <w:rsid w:val="00534C20"/>
    <w:rsid w:val="00534FE7"/>
    <w:rsid w:val="00540B66"/>
    <w:rsid w:val="005431DA"/>
    <w:rsid w:val="00545156"/>
    <w:rsid w:val="00545E48"/>
    <w:rsid w:val="00546274"/>
    <w:rsid w:val="00547F0D"/>
    <w:rsid w:val="00551084"/>
    <w:rsid w:val="00551731"/>
    <w:rsid w:val="00551975"/>
    <w:rsid w:val="00553119"/>
    <w:rsid w:val="005537ED"/>
    <w:rsid w:val="005549AA"/>
    <w:rsid w:val="00555504"/>
    <w:rsid w:val="00562CFC"/>
    <w:rsid w:val="00565CAE"/>
    <w:rsid w:val="00567220"/>
    <w:rsid w:val="00567DA5"/>
    <w:rsid w:val="005719B8"/>
    <w:rsid w:val="005730E7"/>
    <w:rsid w:val="00573F66"/>
    <w:rsid w:val="00574FD4"/>
    <w:rsid w:val="005766C4"/>
    <w:rsid w:val="00581200"/>
    <w:rsid w:val="00583823"/>
    <w:rsid w:val="00583BA0"/>
    <w:rsid w:val="00590EB0"/>
    <w:rsid w:val="00592A1A"/>
    <w:rsid w:val="00594566"/>
    <w:rsid w:val="00595747"/>
    <w:rsid w:val="005A14A3"/>
    <w:rsid w:val="005A1FB4"/>
    <w:rsid w:val="005A428B"/>
    <w:rsid w:val="005B6CEC"/>
    <w:rsid w:val="005B780C"/>
    <w:rsid w:val="005C2D21"/>
    <w:rsid w:val="005C7F5C"/>
    <w:rsid w:val="005D153F"/>
    <w:rsid w:val="005E17AE"/>
    <w:rsid w:val="005E66BB"/>
    <w:rsid w:val="005F0B28"/>
    <w:rsid w:val="005F0C65"/>
    <w:rsid w:val="005F5A34"/>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37763"/>
    <w:rsid w:val="00640337"/>
    <w:rsid w:val="00646439"/>
    <w:rsid w:val="00647796"/>
    <w:rsid w:val="00647F1B"/>
    <w:rsid w:val="00651275"/>
    <w:rsid w:val="006514BD"/>
    <w:rsid w:val="00652D2B"/>
    <w:rsid w:val="0065376C"/>
    <w:rsid w:val="00653971"/>
    <w:rsid w:val="0065461A"/>
    <w:rsid w:val="00656DC7"/>
    <w:rsid w:val="00660A8E"/>
    <w:rsid w:val="006611E1"/>
    <w:rsid w:val="0066293E"/>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281B"/>
    <w:rsid w:val="006D3F49"/>
    <w:rsid w:val="006D6401"/>
    <w:rsid w:val="006E19F4"/>
    <w:rsid w:val="006E24CE"/>
    <w:rsid w:val="006E2CDA"/>
    <w:rsid w:val="006E3ADE"/>
    <w:rsid w:val="006E4D0A"/>
    <w:rsid w:val="006E7D8F"/>
    <w:rsid w:val="006F06A8"/>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56C2"/>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B7C24"/>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04FA5"/>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AA1"/>
    <w:rsid w:val="00844CA9"/>
    <w:rsid w:val="00850157"/>
    <w:rsid w:val="0085602B"/>
    <w:rsid w:val="008563D3"/>
    <w:rsid w:val="008575A7"/>
    <w:rsid w:val="008579FA"/>
    <w:rsid w:val="00862A06"/>
    <w:rsid w:val="008631ED"/>
    <w:rsid w:val="0086718F"/>
    <w:rsid w:val="00870888"/>
    <w:rsid w:val="00882D5F"/>
    <w:rsid w:val="00884374"/>
    <w:rsid w:val="008867B6"/>
    <w:rsid w:val="00887087"/>
    <w:rsid w:val="00887DE9"/>
    <w:rsid w:val="008938F3"/>
    <w:rsid w:val="00897895"/>
    <w:rsid w:val="008A5DF8"/>
    <w:rsid w:val="008A6D24"/>
    <w:rsid w:val="008B5F75"/>
    <w:rsid w:val="008C76FE"/>
    <w:rsid w:val="008D0AE5"/>
    <w:rsid w:val="008E114D"/>
    <w:rsid w:val="008E2BEF"/>
    <w:rsid w:val="008E7988"/>
    <w:rsid w:val="008E7E64"/>
    <w:rsid w:val="008F1BFA"/>
    <w:rsid w:val="008F6F65"/>
    <w:rsid w:val="00902157"/>
    <w:rsid w:val="009054E2"/>
    <w:rsid w:val="00913B10"/>
    <w:rsid w:val="0091494D"/>
    <w:rsid w:val="00914BCF"/>
    <w:rsid w:val="009166C6"/>
    <w:rsid w:val="00916BFF"/>
    <w:rsid w:val="0092281E"/>
    <w:rsid w:val="00923A8E"/>
    <w:rsid w:val="0092566D"/>
    <w:rsid w:val="00930101"/>
    <w:rsid w:val="0093366D"/>
    <w:rsid w:val="00936966"/>
    <w:rsid w:val="00940D1E"/>
    <w:rsid w:val="009439FD"/>
    <w:rsid w:val="009442C2"/>
    <w:rsid w:val="009500F7"/>
    <w:rsid w:val="00950A71"/>
    <w:rsid w:val="0095269F"/>
    <w:rsid w:val="00953F3E"/>
    <w:rsid w:val="00960123"/>
    <w:rsid w:val="009635B0"/>
    <w:rsid w:val="00965E33"/>
    <w:rsid w:val="00967F76"/>
    <w:rsid w:val="0097008F"/>
    <w:rsid w:val="00970097"/>
    <w:rsid w:val="00971652"/>
    <w:rsid w:val="00975B08"/>
    <w:rsid w:val="00982284"/>
    <w:rsid w:val="00982D9A"/>
    <w:rsid w:val="00987E0D"/>
    <w:rsid w:val="009900A7"/>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4C39"/>
    <w:rsid w:val="009D50B6"/>
    <w:rsid w:val="009D5E2B"/>
    <w:rsid w:val="009E009D"/>
    <w:rsid w:val="009E5B1B"/>
    <w:rsid w:val="009E6D6E"/>
    <w:rsid w:val="009F24C2"/>
    <w:rsid w:val="009F2F47"/>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5824"/>
    <w:rsid w:val="00A6713D"/>
    <w:rsid w:val="00A6720D"/>
    <w:rsid w:val="00A6799E"/>
    <w:rsid w:val="00A7066C"/>
    <w:rsid w:val="00A7279D"/>
    <w:rsid w:val="00A74CA3"/>
    <w:rsid w:val="00A76C23"/>
    <w:rsid w:val="00A76F52"/>
    <w:rsid w:val="00A77910"/>
    <w:rsid w:val="00A80BAD"/>
    <w:rsid w:val="00A820C9"/>
    <w:rsid w:val="00A832AB"/>
    <w:rsid w:val="00A8375C"/>
    <w:rsid w:val="00A83A3B"/>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5CB2"/>
    <w:rsid w:val="00AC6C3C"/>
    <w:rsid w:val="00AC7AAB"/>
    <w:rsid w:val="00AD31E3"/>
    <w:rsid w:val="00AD3219"/>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299D"/>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08B"/>
    <w:rsid w:val="00B83EA0"/>
    <w:rsid w:val="00B859A5"/>
    <w:rsid w:val="00B8618F"/>
    <w:rsid w:val="00B8629D"/>
    <w:rsid w:val="00B91930"/>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0C0C"/>
    <w:rsid w:val="00C02D50"/>
    <w:rsid w:val="00C055E6"/>
    <w:rsid w:val="00C05FBC"/>
    <w:rsid w:val="00C118FA"/>
    <w:rsid w:val="00C12399"/>
    <w:rsid w:val="00C15968"/>
    <w:rsid w:val="00C16020"/>
    <w:rsid w:val="00C16518"/>
    <w:rsid w:val="00C16798"/>
    <w:rsid w:val="00C26639"/>
    <w:rsid w:val="00C268FE"/>
    <w:rsid w:val="00C26994"/>
    <w:rsid w:val="00C277FB"/>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637"/>
    <w:rsid w:val="00C6025C"/>
    <w:rsid w:val="00C62AF9"/>
    <w:rsid w:val="00C6300F"/>
    <w:rsid w:val="00C63B5B"/>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959C2"/>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B74E7"/>
    <w:rsid w:val="00CC3571"/>
    <w:rsid w:val="00CC42D8"/>
    <w:rsid w:val="00CC5813"/>
    <w:rsid w:val="00CD2249"/>
    <w:rsid w:val="00CD24EC"/>
    <w:rsid w:val="00CD3E02"/>
    <w:rsid w:val="00CD4013"/>
    <w:rsid w:val="00CD6552"/>
    <w:rsid w:val="00CD6C83"/>
    <w:rsid w:val="00CD6CFF"/>
    <w:rsid w:val="00CE4801"/>
    <w:rsid w:val="00CE7745"/>
    <w:rsid w:val="00CF1452"/>
    <w:rsid w:val="00CF4A43"/>
    <w:rsid w:val="00CF723D"/>
    <w:rsid w:val="00CF7AE6"/>
    <w:rsid w:val="00D06215"/>
    <w:rsid w:val="00D1067E"/>
    <w:rsid w:val="00D11C7C"/>
    <w:rsid w:val="00D132C1"/>
    <w:rsid w:val="00D232B8"/>
    <w:rsid w:val="00D23BEE"/>
    <w:rsid w:val="00D23D1C"/>
    <w:rsid w:val="00D27373"/>
    <w:rsid w:val="00D27B4A"/>
    <w:rsid w:val="00D3062A"/>
    <w:rsid w:val="00D31494"/>
    <w:rsid w:val="00D31CAB"/>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670CC"/>
    <w:rsid w:val="00D71EAB"/>
    <w:rsid w:val="00D72117"/>
    <w:rsid w:val="00D7666D"/>
    <w:rsid w:val="00D82022"/>
    <w:rsid w:val="00D845D8"/>
    <w:rsid w:val="00D85D37"/>
    <w:rsid w:val="00D87E75"/>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183B"/>
    <w:rsid w:val="00DD2DAD"/>
    <w:rsid w:val="00DD52F7"/>
    <w:rsid w:val="00DD6456"/>
    <w:rsid w:val="00DE2536"/>
    <w:rsid w:val="00DE4F02"/>
    <w:rsid w:val="00DE7453"/>
    <w:rsid w:val="00DF2E1C"/>
    <w:rsid w:val="00DF56D7"/>
    <w:rsid w:val="00DF5E4D"/>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40836"/>
    <w:rsid w:val="00E422E0"/>
    <w:rsid w:val="00E43492"/>
    <w:rsid w:val="00E434DA"/>
    <w:rsid w:val="00E43A6F"/>
    <w:rsid w:val="00E46921"/>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340"/>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D661A"/>
    <w:rsid w:val="00EE5277"/>
    <w:rsid w:val="00EE7AD0"/>
    <w:rsid w:val="00EF0A16"/>
    <w:rsid w:val="00EF38AA"/>
    <w:rsid w:val="00EF4589"/>
    <w:rsid w:val="00EF52BC"/>
    <w:rsid w:val="00EF5FDB"/>
    <w:rsid w:val="00F005DB"/>
    <w:rsid w:val="00F01410"/>
    <w:rsid w:val="00F03436"/>
    <w:rsid w:val="00F047A7"/>
    <w:rsid w:val="00F050CB"/>
    <w:rsid w:val="00F057D8"/>
    <w:rsid w:val="00F07DB0"/>
    <w:rsid w:val="00F07FBA"/>
    <w:rsid w:val="00F1052F"/>
    <w:rsid w:val="00F105EF"/>
    <w:rsid w:val="00F120F6"/>
    <w:rsid w:val="00F2034F"/>
    <w:rsid w:val="00F20E22"/>
    <w:rsid w:val="00F21CB8"/>
    <w:rsid w:val="00F24D35"/>
    <w:rsid w:val="00F24EEA"/>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35"/>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2200"/>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3368A"/>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character" w:customStyle="1" w:styleId="FunotentextZchn">
    <w:name w:val="Fußnotentext Zchn"/>
    <w:basedOn w:val="Absatz-Standardschriftart"/>
    <w:link w:val="Funotentext"/>
    <w:uiPriority w:val="99"/>
    <w:rsid w:val="00870888"/>
    <w:rPr>
      <w:rFonts w:ascii="Arial" w:hAnsi="Arial"/>
    </w:rPr>
  </w:style>
  <w:style w:type="paragraph" w:styleId="Listenabsatz">
    <w:name w:val="List Paragraph"/>
    <w:basedOn w:val="Standard"/>
    <w:uiPriority w:val="34"/>
    <w:qFormat/>
    <w:rsid w:val="00870888"/>
    <w:pPr>
      <w:ind w:left="720"/>
      <w:contextualSpacing/>
    </w:pPr>
  </w:style>
  <w:style w:type="paragraph" w:customStyle="1" w:styleId="AufzhlungPunkt1">
    <w:name w:val="Aufzählung Punkt 1"/>
    <w:basedOn w:val="Standard"/>
    <w:link w:val="AufzhlungPunkt1Zchn"/>
    <w:qFormat/>
    <w:rsid w:val="00870888"/>
    <w:pPr>
      <w:numPr>
        <w:numId w:val="7"/>
      </w:numPr>
      <w:overflowPunct/>
      <w:autoSpaceDE/>
      <w:autoSpaceDN/>
      <w:adjustRightInd/>
      <w:spacing w:line="288" w:lineRule="auto"/>
      <w:ind w:left="426" w:hanging="426"/>
      <w:jc w:val="both"/>
      <w:textAlignment w:val="auto"/>
    </w:pPr>
    <w:rPr>
      <w:rFonts w:ascii="Verdana" w:eastAsiaTheme="minorEastAsia" w:hAnsi="Verdana" w:cstheme="minorBidi"/>
      <w:sz w:val="20"/>
      <w:lang w:eastAsia="ja-JP"/>
    </w:rPr>
  </w:style>
  <w:style w:type="character" w:customStyle="1" w:styleId="AufzhlungPunkt1Zchn">
    <w:name w:val="Aufzählung Punkt 1 Zchn"/>
    <w:basedOn w:val="Absatz-Standardschriftart"/>
    <w:link w:val="AufzhlungPunkt1"/>
    <w:rsid w:val="00870888"/>
    <w:rPr>
      <w:rFonts w:ascii="Verdana" w:eastAsiaTheme="minorEastAsia" w:hAnsi="Verdana" w:cstheme="minorBidi"/>
      <w:lang w:eastAsia="ja-JP"/>
    </w:rPr>
  </w:style>
  <w:style w:type="table" w:styleId="Tabellenraster">
    <w:name w:val="Table Grid"/>
    <w:basedOn w:val="NormaleTabelle"/>
    <w:unhideWhenUsed/>
    <w:rsid w:val="000E2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Punkt2">
    <w:name w:val="Aufzählung Punkt 2"/>
    <w:basedOn w:val="Standard"/>
    <w:link w:val="AufzhlungPunkt2Zchn"/>
    <w:qFormat/>
    <w:rsid w:val="005035AF"/>
    <w:pPr>
      <w:overflowPunct/>
      <w:autoSpaceDE/>
      <w:autoSpaceDN/>
      <w:adjustRightInd/>
      <w:spacing w:line="288" w:lineRule="auto"/>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5035AF"/>
    <w:rPr>
      <w:rFonts w:ascii="Verdana" w:eastAsiaTheme="minorEastAsia" w:hAnsi="Verdana" w:cstheme="minorBidi"/>
      <w:lang w:eastAsia="ja-JP"/>
    </w:rPr>
  </w:style>
  <w:style w:type="paragraph" w:customStyle="1" w:styleId="Anhangberschrift1">
    <w:name w:val="Anhang Überschrift 1"/>
    <w:basedOn w:val="Standard"/>
    <w:next w:val="Standard"/>
    <w:qFormat/>
    <w:rsid w:val="004B7B3A"/>
    <w:pPr>
      <w:keepNext/>
      <w:numPr>
        <w:ilvl w:val="1"/>
        <w:numId w:val="15"/>
      </w:numPr>
      <w:overflowPunct/>
      <w:autoSpaceDE/>
      <w:autoSpaceDN/>
      <w:adjustRightInd/>
      <w:spacing w:before="240" w:after="120" w:line="288" w:lineRule="auto"/>
      <w:jc w:val="both"/>
      <w:textAlignment w:val="auto"/>
      <w:outlineLvl w:val="1"/>
    </w:pPr>
    <w:rPr>
      <w:rFonts w:ascii="Verdana" w:eastAsiaTheme="minorEastAsia" w:hAnsi="Verdana" w:cstheme="minorBidi"/>
      <w:b/>
      <w:sz w:val="20"/>
      <w:szCs w:val="22"/>
      <w:lang w:eastAsia="ja-JP"/>
    </w:rPr>
  </w:style>
  <w:style w:type="paragraph" w:customStyle="1" w:styleId="Anhangberschrift2">
    <w:name w:val="Anhang Überschrift 2"/>
    <w:basedOn w:val="Standard"/>
    <w:next w:val="Standard"/>
    <w:qFormat/>
    <w:rsid w:val="004B7B3A"/>
    <w:pPr>
      <w:keepNext/>
      <w:numPr>
        <w:ilvl w:val="2"/>
        <w:numId w:val="15"/>
      </w:numPr>
      <w:overflowPunct/>
      <w:autoSpaceDE/>
      <w:autoSpaceDN/>
      <w:adjustRightInd/>
      <w:spacing w:before="240" w:after="120" w:line="288" w:lineRule="auto"/>
      <w:jc w:val="both"/>
      <w:textAlignment w:val="auto"/>
      <w:outlineLvl w:val="2"/>
    </w:pPr>
    <w:rPr>
      <w:rFonts w:ascii="Verdana" w:eastAsiaTheme="minorEastAsia" w:hAnsi="Verdana" w:cstheme="minorBidi"/>
      <w:b/>
      <w:sz w:val="20"/>
      <w:szCs w:val="22"/>
      <w:lang w:eastAsia="ja-JP"/>
    </w:rPr>
  </w:style>
  <w:style w:type="paragraph" w:customStyle="1" w:styleId="Anhangberschrift">
    <w:name w:val="Anhang Überschrift"/>
    <w:basedOn w:val="Listenabsatz"/>
    <w:next w:val="Standard"/>
    <w:qFormat/>
    <w:rsid w:val="004B7B3A"/>
    <w:pPr>
      <w:keepNext/>
      <w:numPr>
        <w:numId w:val="15"/>
      </w:numPr>
      <w:tabs>
        <w:tab w:val="left" w:pos="1418"/>
      </w:tabs>
      <w:overflowPunct/>
      <w:autoSpaceDE/>
      <w:autoSpaceDN/>
      <w:adjustRightInd/>
      <w:spacing w:before="120" w:after="120" w:line="288" w:lineRule="auto"/>
      <w:jc w:val="both"/>
      <w:textAlignment w:val="auto"/>
      <w:outlineLvl w:val="0"/>
    </w:pPr>
    <w:rPr>
      <w:rFonts w:ascii="Verdana" w:eastAsiaTheme="minorEastAsia" w:hAnsi="Verdana" w:cstheme="minorBidi"/>
      <w:b/>
      <w:lang w:eastAsia="ja-JP"/>
    </w:rPr>
  </w:style>
  <w:style w:type="paragraph" w:customStyle="1" w:styleId="AnhangAufzhlungBuchstabe">
    <w:name w:val="Anhang Aufzählung Buchstabe"/>
    <w:basedOn w:val="Standard"/>
    <w:link w:val="AnhangAufzhlungBuchstabeZchn"/>
    <w:qFormat/>
    <w:rsid w:val="004B7B3A"/>
    <w:pPr>
      <w:numPr>
        <w:ilvl w:val="4"/>
        <w:numId w:val="15"/>
      </w:numPr>
      <w:overflowPunct/>
      <w:autoSpaceDE/>
      <w:autoSpaceDN/>
      <w:adjustRightInd/>
      <w:spacing w:line="288" w:lineRule="auto"/>
      <w:jc w:val="both"/>
      <w:textAlignment w:val="auto"/>
    </w:pPr>
    <w:rPr>
      <w:rFonts w:ascii="Verdana" w:eastAsiaTheme="minorEastAsia" w:hAnsi="Verdana" w:cstheme="minorBidi"/>
      <w:sz w:val="20"/>
      <w:szCs w:val="22"/>
      <w:lang w:eastAsia="ja-JP"/>
    </w:rPr>
  </w:style>
  <w:style w:type="character" w:customStyle="1" w:styleId="AnhangAufzhlungBuchstabeZchn">
    <w:name w:val="Anhang Aufzählung Buchstabe Zchn"/>
    <w:basedOn w:val="Absatz-Standardschriftart"/>
    <w:link w:val="AnhangAufzhlungBuchstabe"/>
    <w:rsid w:val="004B7B3A"/>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4B7B3A"/>
    <w:pPr>
      <w:numPr>
        <w:ilvl w:val="3"/>
      </w:numPr>
    </w:pPr>
    <w:rPr>
      <w:rFonts w:eastAsia="Times New Roman" w:cs="Times New Roman"/>
      <w:bCs/>
    </w:rPr>
  </w:style>
  <w:style w:type="paragraph" w:customStyle="1" w:styleId="b1">
    <w:name w:val="Üb 1"/>
    <w:basedOn w:val="Listenabsatz"/>
    <w:next w:val="Standard"/>
    <w:qFormat/>
    <w:rsid w:val="004B7B3A"/>
    <w:pPr>
      <w:keepNext/>
      <w:numPr>
        <w:numId w:val="16"/>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Cs w:val="22"/>
      <w:lang w:eastAsia="ja-JP"/>
    </w:rPr>
  </w:style>
  <w:style w:type="paragraph" w:customStyle="1" w:styleId="b2">
    <w:name w:val="Üb 2"/>
    <w:basedOn w:val="b1"/>
    <w:next w:val="Standard"/>
    <w:qFormat/>
    <w:rsid w:val="004B7B3A"/>
    <w:pPr>
      <w:numPr>
        <w:ilvl w:val="1"/>
      </w:numPr>
      <w:spacing w:before="240"/>
      <w:ind w:left="709" w:hanging="709"/>
      <w:outlineLvl w:val="1"/>
    </w:pPr>
    <w:rPr>
      <w:sz w:val="20"/>
    </w:rPr>
  </w:style>
  <w:style w:type="paragraph" w:customStyle="1" w:styleId="b3">
    <w:name w:val="Üb 3"/>
    <w:basedOn w:val="Listenabsatz"/>
    <w:next w:val="Standard"/>
    <w:link w:val="b3Zchn"/>
    <w:qFormat/>
    <w:rsid w:val="004B7B3A"/>
    <w:pPr>
      <w:keepNext/>
      <w:numPr>
        <w:ilvl w:val="2"/>
        <w:numId w:val="16"/>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sz w:val="20"/>
      <w:lang w:eastAsia="ja-JP"/>
    </w:rPr>
  </w:style>
  <w:style w:type="paragraph" w:customStyle="1" w:styleId="b4">
    <w:name w:val="Üb 4"/>
    <w:basedOn w:val="b3"/>
    <w:next w:val="Standard"/>
    <w:qFormat/>
    <w:rsid w:val="004B7B3A"/>
    <w:pPr>
      <w:numPr>
        <w:ilvl w:val="3"/>
      </w:numPr>
      <w:tabs>
        <w:tab w:val="num" w:pos="360"/>
      </w:tabs>
      <w:outlineLvl w:val="3"/>
    </w:pPr>
  </w:style>
  <w:style w:type="character" w:customStyle="1" w:styleId="b3Zchn">
    <w:name w:val="Üb 3 Zchn"/>
    <w:basedOn w:val="Absatz-Standardschriftart"/>
    <w:link w:val="b3"/>
    <w:rsid w:val="004B7B3A"/>
    <w:rPr>
      <w:rFonts w:ascii="Verdana" w:eastAsiaTheme="minorEastAsia" w:hAnsi="Verdana" w:cstheme="minorBidi"/>
      <w:b/>
      <w:lang w:eastAsia="ja-JP"/>
    </w:rPr>
  </w:style>
  <w:style w:type="paragraph" w:customStyle="1" w:styleId="b5">
    <w:name w:val="Üb 5"/>
    <w:basedOn w:val="b4"/>
    <w:next w:val="Standard"/>
    <w:qFormat/>
    <w:rsid w:val="004B7B3A"/>
    <w:pPr>
      <w:numPr>
        <w:ilvl w:val="4"/>
      </w:numPr>
      <w:tabs>
        <w:tab w:val="num" w:pos="360"/>
      </w:tabs>
      <w:ind w:left="1304" w:hanging="1304"/>
      <w:outlineLvl w:val="4"/>
    </w:pPr>
  </w:style>
  <w:style w:type="paragraph" w:customStyle="1" w:styleId="b6">
    <w:name w:val="Üb 6"/>
    <w:basedOn w:val="b5"/>
    <w:next w:val="Standard"/>
    <w:qFormat/>
    <w:rsid w:val="004B7B3A"/>
    <w:pPr>
      <w:numPr>
        <w:ilvl w:val="5"/>
      </w:numPr>
      <w:tabs>
        <w:tab w:val="num" w:pos="360"/>
      </w:tabs>
      <w:ind w:left="1559" w:hanging="1559"/>
      <w:outlineLvl w:val="5"/>
    </w:pPr>
  </w:style>
  <w:style w:type="paragraph" w:customStyle="1" w:styleId="AufzhlungBuchstabe">
    <w:name w:val="Aufzählung Buchstabe"/>
    <w:basedOn w:val="b2"/>
    <w:qFormat/>
    <w:rsid w:val="004B7B3A"/>
    <w:pPr>
      <w:keepNext w:val="0"/>
      <w:numPr>
        <w:ilvl w:val="6"/>
      </w:numPr>
      <w:spacing w:before="0" w:after="0"/>
      <w:outlineLvl w:val="9"/>
    </w:pPr>
    <w:rPr>
      <w:b w:val="0"/>
    </w:rPr>
  </w:style>
  <w:style w:type="paragraph" w:customStyle="1" w:styleId="AufzhlungBuchstabeFett">
    <w:name w:val="Aufzählung Buchstabe Fett"/>
    <w:basedOn w:val="AufzhlungBuchstabe"/>
    <w:link w:val="AufzhlungBuchstabeFettZchn"/>
    <w:rsid w:val="004B7B3A"/>
    <w:pPr>
      <w:numPr>
        <w:ilvl w:val="8"/>
      </w:numPr>
    </w:pPr>
    <w:rPr>
      <w:b/>
      <w:bCs/>
    </w:rPr>
  </w:style>
  <w:style w:type="paragraph" w:customStyle="1" w:styleId="AufzhlungBuchstabeKursiv">
    <w:name w:val="Aufzählung Buchstabe Kursiv"/>
    <w:basedOn w:val="AufzhlungBuchstabe"/>
    <w:rsid w:val="004B7B3A"/>
    <w:pPr>
      <w:numPr>
        <w:ilvl w:val="7"/>
      </w:numPr>
    </w:pPr>
    <w:rPr>
      <w:i/>
      <w:iCs/>
    </w:rPr>
  </w:style>
  <w:style w:type="character" w:styleId="Hyperlink">
    <w:name w:val="Hyperlink"/>
    <w:basedOn w:val="Absatz-Standardschriftart"/>
    <w:uiPriority w:val="99"/>
    <w:qFormat/>
    <w:rsid w:val="004F5CCD"/>
    <w:rPr>
      <w:color w:val="0000FF" w:themeColor="hyperlink"/>
      <w:u w:val="single"/>
    </w:rPr>
  </w:style>
  <w:style w:type="paragraph" w:customStyle="1" w:styleId="Standardeingercktum0">
    <w:name w:val="Standard eingerückt um 0"/>
    <w:aliases w:val="75"/>
    <w:basedOn w:val="Standard"/>
    <w:link w:val="Standardeingercktum0Zchn"/>
    <w:qFormat/>
    <w:rsid w:val="0051049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51049E"/>
    <w:rPr>
      <w:rFonts w:ascii="Verdana" w:eastAsiaTheme="minorEastAsia" w:hAnsi="Verdana" w:cstheme="minorBidi"/>
      <w:lang w:eastAsia="ja-JP"/>
    </w:rPr>
  </w:style>
  <w:style w:type="character" w:customStyle="1" w:styleId="AufzhlungBuchstabeFettZchn">
    <w:name w:val="Aufzählung Buchstabe Fett Zchn"/>
    <w:basedOn w:val="Absatz-Standardschriftart"/>
    <w:link w:val="AufzhlungBuchstabeFett"/>
    <w:rsid w:val="0004748C"/>
    <w:rPr>
      <w:rFonts w:ascii="Verdana" w:eastAsiaTheme="minorEastAsia" w:hAnsi="Verdana" w:cstheme="minorBidi"/>
      <w:b/>
      <w:bCs/>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bfr.ble.de/kse/faces/DBEmpfehlung.jsp" TargetMode="External"/><Relationship Id="rId2" Type="http://schemas.openxmlformats.org/officeDocument/2006/relationships/hyperlink" Target="https://echa.europa.eu/de/regulations/clp/cl-inventory" TargetMode="External"/><Relationship Id="rId1" Type="http://schemas.openxmlformats.org/officeDocument/2006/relationships/hyperlink" Target="https://www.echa.europa.eu/candidate-list-table" TargetMode="External"/><Relationship Id="rId4" Type="http://schemas.openxmlformats.org/officeDocument/2006/relationships/hyperlink" Target="https://www.umweltbundesamt.de/sites/default/files/medien/5620/dokumente/silikon-uebergangsempfehlung_2._aenderun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1640</Words>
  <Characters>9351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33</cp:revision>
  <cp:lastPrinted>2013-03-14T10:09:00Z</cp:lastPrinted>
  <dcterms:created xsi:type="dcterms:W3CDTF">2022-01-21T10:17:00Z</dcterms:created>
  <dcterms:modified xsi:type="dcterms:W3CDTF">2022-04-08T08:23:00Z</dcterms:modified>
</cp:coreProperties>
</file>