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3C4396">
              <w:rPr>
                <w:rFonts w:cs="Arial"/>
                <w:b/>
                <w:sz w:val="48"/>
                <w:szCs w:val="48"/>
              </w:rPr>
              <w:t>1</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7842D0" w:rsidRPr="00F1664D">
              <w:rPr>
                <w:rFonts w:cs="Arial"/>
                <w:b/>
              </w:rPr>
              <w:t>14</w:t>
            </w:r>
            <w:r w:rsidR="00A774C8">
              <w:rPr>
                <w:rFonts w:cs="Arial"/>
                <w:b/>
              </w:rPr>
              <w:t>a</w:t>
            </w:r>
            <w:r w:rsidR="000201F5">
              <w:rPr>
                <w:rFonts w:cs="Arial"/>
                <w:b/>
              </w:rPr>
              <w:br/>
            </w:r>
            <w:r w:rsidR="000201F5">
              <w:rPr>
                <w:rFonts w:cs="Arial"/>
                <w:b/>
              </w:rPr>
              <w:br/>
              <w:t>DIESE ANLAGE GILT FÜR</w:t>
            </w:r>
            <w:r w:rsidR="00AE11A5">
              <w:rPr>
                <w:rFonts w:cs="Arial"/>
                <w:b/>
              </w:rPr>
              <w:t xml:space="preserve">: </w:t>
            </w:r>
            <w:r w:rsidR="003C4396">
              <w:rPr>
                <w:rFonts w:cs="Arial"/>
                <w:b/>
              </w:rPr>
              <w:t>ANTRAG</w:t>
            </w:r>
            <w:r w:rsidR="00C33528">
              <w:rPr>
                <w:rFonts w:cs="Arial"/>
                <w:b/>
              </w:rPr>
              <w:t>STELLER</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A238F1" w:rsidRPr="00F1664D" w:rsidRDefault="00A238F1" w:rsidP="00731E02">
      <w:pPr>
        <w:tabs>
          <w:tab w:val="left" w:pos="5670"/>
        </w:tabs>
        <w:rPr>
          <w:rFonts w:cs="Arial"/>
        </w:rPr>
      </w:pPr>
    </w:p>
    <w:p w:rsidR="000201F5" w:rsidRDefault="000201F5" w:rsidP="00731E02">
      <w:pPr>
        <w:tabs>
          <w:tab w:val="left" w:pos="5670"/>
        </w:tabs>
        <w:rPr>
          <w:rFonts w:cs="Arial"/>
          <w:b/>
        </w:rPr>
      </w:pPr>
    </w:p>
    <w:p w:rsidR="00731E02" w:rsidRPr="00F1664D" w:rsidRDefault="00731E02" w:rsidP="00731E02">
      <w:pPr>
        <w:tabs>
          <w:tab w:val="left" w:pos="5670"/>
        </w:tabs>
        <w:rPr>
          <w:rFonts w:cs="Arial"/>
          <w:b/>
        </w:rPr>
      </w:pPr>
      <w:r w:rsidRPr="00F1664D">
        <w:rPr>
          <w:rFonts w:cs="Arial"/>
          <w:b/>
        </w:rPr>
        <w:t>Umweltzeichen für "</w:t>
      </w:r>
      <w:r w:rsidR="000201F5">
        <w:rPr>
          <w:rFonts w:cs="Arial"/>
          <w:b/>
        </w:rPr>
        <w:t>Grafische Papiere und Kartons aus 100% Altpapier</w:t>
      </w:r>
      <w:r w:rsidR="00AA3F13">
        <w:rPr>
          <w:rFonts w:cs="Arial"/>
          <w:b/>
        </w:rPr>
        <w:t xml:space="preserve"> (Recyclingpapier </w:t>
      </w:r>
      <w:r w:rsidR="00AA3F13" w:rsidRPr="00CD55CE">
        <w:rPr>
          <w:rFonts w:cs="Arial"/>
          <w:b/>
          <w:u w:val="single"/>
        </w:rPr>
        <w:t>und</w:t>
      </w:r>
      <w:r w:rsidR="00AA3F13">
        <w:rPr>
          <w:rFonts w:cs="Arial"/>
          <w:b/>
        </w:rPr>
        <w:t xml:space="preserve"> Karton)</w:t>
      </w:r>
      <w:r w:rsidR="007842D0" w:rsidRPr="00F1664D">
        <w:rPr>
          <w:rFonts w:cs="Arial"/>
          <w:b/>
        </w:rPr>
        <w:t xml:space="preserve"> </w:t>
      </w:r>
      <w:r w:rsidRPr="00F1664D">
        <w:rPr>
          <w:rFonts w:cs="Arial"/>
          <w:b/>
        </w:rPr>
        <w:t>"</w:t>
      </w:r>
    </w:p>
    <w:p w:rsidR="00A238F1" w:rsidRPr="00F1664D"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31E02" w:rsidRPr="00F1664D" w:rsidTr="002C3F22">
        <w:trPr>
          <w:trHeight w:hRule="exact" w:val="814"/>
        </w:trPr>
        <w:tc>
          <w:tcPr>
            <w:tcW w:w="4362" w:type="dxa"/>
            <w:shd w:val="clear" w:color="auto" w:fill="auto"/>
          </w:tcPr>
          <w:p w:rsidR="00731E02" w:rsidRPr="00F1664D" w:rsidRDefault="003C4396" w:rsidP="0076668E">
            <w:pPr>
              <w:spacing w:before="20" w:after="20"/>
              <w:rPr>
                <w:rFonts w:cs="Arial"/>
                <w:b/>
              </w:rPr>
            </w:pPr>
            <w:r>
              <w:rPr>
                <w:rFonts w:cs="Arial"/>
                <w:b/>
              </w:rPr>
              <w:t>Antragsteller</w:t>
            </w:r>
            <w:r w:rsidR="00731E02" w:rsidRPr="00F1664D">
              <w:rPr>
                <w:rFonts w:cs="Arial"/>
                <w:b/>
              </w:rPr>
              <w:t>:</w:t>
            </w:r>
          </w:p>
          <w:p w:rsidR="00731E02" w:rsidRPr="00F1664D" w:rsidRDefault="00731E02" w:rsidP="0076668E">
            <w:pPr>
              <w:spacing w:before="20" w:after="20"/>
              <w:rPr>
                <w:rFonts w:cs="Arial"/>
                <w:sz w:val="18"/>
                <w:szCs w:val="18"/>
              </w:rPr>
            </w:pPr>
            <w:r w:rsidRPr="00F1664D">
              <w:rPr>
                <w:rFonts w:cs="Arial"/>
                <w:sz w:val="18"/>
                <w:szCs w:val="18"/>
              </w:rPr>
              <w:t>(vollständige Anschrift)</w:t>
            </w:r>
          </w:p>
        </w:tc>
        <w:tc>
          <w:tcPr>
            <w:tcW w:w="5386" w:type="dxa"/>
            <w:shd w:val="clear" w:color="auto" w:fill="auto"/>
          </w:tcPr>
          <w:p w:rsidR="00731E02"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bookmarkStart w:id="0" w:name="_GoBack"/>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bookmarkEnd w:id="0"/>
            <w:r w:rsidRPr="00F1664D">
              <w:rPr>
                <w:rFonts w:cs="Arial"/>
                <w:b/>
              </w:rPr>
              <w:fldChar w:fldCharType="end"/>
            </w:r>
          </w:p>
          <w:p w:rsidR="002C3F22" w:rsidRDefault="002C3F22" w:rsidP="0076668E">
            <w:pPr>
              <w:spacing w:before="20" w:after="20"/>
              <w:rPr>
                <w:rFonts w:cs="Arial"/>
                <w:b/>
              </w:rPr>
            </w:pPr>
          </w:p>
          <w:p w:rsidR="002C3F22" w:rsidRPr="00F1664D" w:rsidRDefault="002C3F22" w:rsidP="0076668E">
            <w:pPr>
              <w:spacing w:before="20" w:after="20"/>
              <w:rPr>
                <w:rFonts w:cs="Arial"/>
                <w:b/>
              </w:rPr>
            </w:pPr>
          </w:p>
        </w:tc>
      </w:tr>
      <w:tr w:rsidR="00731E02" w:rsidRPr="00F1664D" w:rsidTr="003C4396">
        <w:tc>
          <w:tcPr>
            <w:tcW w:w="4362" w:type="dxa"/>
            <w:shd w:val="clear" w:color="auto" w:fill="auto"/>
          </w:tcPr>
          <w:p w:rsidR="00731E02" w:rsidRPr="00F1664D" w:rsidRDefault="00F1664D" w:rsidP="0076668E">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rsidTr="003C4396">
        <w:tc>
          <w:tcPr>
            <w:tcW w:w="4362" w:type="dxa"/>
            <w:shd w:val="clear" w:color="auto" w:fill="auto"/>
          </w:tcPr>
          <w:p w:rsidR="00F1664D" w:rsidRPr="00F1664D" w:rsidRDefault="00F1664D" w:rsidP="00F1664D">
            <w:pPr>
              <w:spacing w:before="20" w:after="20"/>
              <w:jc w:val="center"/>
              <w:rPr>
                <w:rFonts w:cs="Arial"/>
                <w:b/>
              </w:rPr>
            </w:pPr>
            <w:r w:rsidRPr="00F1664D">
              <w:rPr>
                <w:rFonts w:cs="Arial"/>
                <w:b/>
              </w:rPr>
              <w:t>E-Mail-Adresse:</w:t>
            </w:r>
          </w:p>
        </w:tc>
        <w:tc>
          <w:tcPr>
            <w:tcW w:w="5386" w:type="dxa"/>
            <w:shd w:val="clear" w:color="auto" w:fill="auto"/>
          </w:tcPr>
          <w:p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F1664D" w:rsidRPr="00F1664D" w:rsidTr="003C4396">
        <w:tc>
          <w:tcPr>
            <w:tcW w:w="4362" w:type="dxa"/>
            <w:shd w:val="clear" w:color="auto" w:fill="auto"/>
          </w:tcPr>
          <w:p w:rsidR="00F1664D" w:rsidRPr="00F1664D" w:rsidRDefault="00F1664D" w:rsidP="00F1664D">
            <w:pPr>
              <w:spacing w:before="20" w:after="20"/>
              <w:jc w:val="center"/>
              <w:rPr>
                <w:rFonts w:cs="Arial"/>
                <w:b/>
              </w:rPr>
            </w:pPr>
            <w:r w:rsidRPr="00F1664D">
              <w:rPr>
                <w:rFonts w:cs="Arial"/>
                <w:b/>
              </w:rPr>
              <w:t>Telefonnummer:</w:t>
            </w:r>
          </w:p>
        </w:tc>
        <w:tc>
          <w:tcPr>
            <w:tcW w:w="5386" w:type="dxa"/>
            <w:shd w:val="clear" w:color="auto" w:fill="auto"/>
          </w:tcPr>
          <w:p w:rsidR="00F1664D" w:rsidRDefault="00F1664D" w:rsidP="0076668E">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731E02" w:rsidRPr="00F1664D" w:rsidTr="00546FB1">
        <w:trPr>
          <w:trHeight w:val="571"/>
        </w:trPr>
        <w:tc>
          <w:tcPr>
            <w:tcW w:w="4362" w:type="dxa"/>
            <w:shd w:val="clear" w:color="auto" w:fill="auto"/>
          </w:tcPr>
          <w:p w:rsidR="00731E02" w:rsidRPr="00F1664D" w:rsidRDefault="00296107" w:rsidP="0076668E">
            <w:pPr>
              <w:spacing w:before="20" w:after="20"/>
              <w:rPr>
                <w:rFonts w:cs="Arial"/>
                <w:b/>
              </w:rPr>
            </w:pPr>
            <w:r w:rsidRPr="00F1664D">
              <w:rPr>
                <w:rFonts w:cs="Arial"/>
                <w:b/>
              </w:rPr>
              <w:t>Handelsname des Produkt</w:t>
            </w:r>
            <w:r w:rsidR="003C4396">
              <w:rPr>
                <w:rFonts w:cs="Arial"/>
                <w:b/>
              </w:rPr>
              <w:t>e</w:t>
            </w:r>
            <w:r w:rsidRPr="00F1664D">
              <w:rPr>
                <w:rFonts w:cs="Arial"/>
                <w:b/>
              </w:rPr>
              <w:t>s</w:t>
            </w:r>
            <w:r w:rsidR="00731E02" w:rsidRPr="00F1664D">
              <w:rPr>
                <w:rFonts w:cs="Arial"/>
                <w:b/>
              </w:rPr>
              <w:t>:</w:t>
            </w:r>
          </w:p>
          <w:p w:rsidR="00BC56EF" w:rsidRPr="00F1664D" w:rsidRDefault="00BC56EF" w:rsidP="00F1664D">
            <w:pPr>
              <w:spacing w:before="20" w:after="20"/>
              <w:rPr>
                <w:rFonts w:cs="Arial"/>
                <w:b/>
                <w:sz w:val="18"/>
                <w:szCs w:val="18"/>
              </w:rPr>
            </w:pPr>
          </w:p>
        </w:tc>
        <w:tc>
          <w:tcPr>
            <w:tcW w:w="5386" w:type="dxa"/>
            <w:shd w:val="clear" w:color="auto" w:fill="auto"/>
          </w:tcPr>
          <w:p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C4396" w:rsidRPr="00F1664D" w:rsidTr="00083395">
        <w:trPr>
          <w:trHeight w:val="636"/>
        </w:trPr>
        <w:tc>
          <w:tcPr>
            <w:tcW w:w="4362" w:type="dxa"/>
            <w:shd w:val="clear" w:color="auto" w:fill="auto"/>
          </w:tcPr>
          <w:p w:rsidR="003C4396" w:rsidRPr="00F1664D" w:rsidRDefault="003C4396" w:rsidP="0076668E">
            <w:pPr>
              <w:spacing w:before="20" w:after="20"/>
              <w:rPr>
                <w:rFonts w:cs="Arial"/>
                <w:b/>
              </w:rPr>
            </w:pPr>
            <w:r>
              <w:rPr>
                <w:rFonts w:cs="Arial"/>
                <w:b/>
              </w:rPr>
              <w:t xml:space="preserve">Funktionsbezeichnung des Produktes </w:t>
            </w:r>
            <w:r w:rsidRPr="00F01D1E">
              <w:rPr>
                <w:rFonts w:cs="Arial"/>
                <w:sz w:val="18"/>
                <w:szCs w:val="18"/>
              </w:rPr>
              <w:t>(z.B. Manilakarton, Multifunktionspapier usw.)</w:t>
            </w:r>
            <w:r w:rsidRPr="00F01D1E">
              <w:rPr>
                <w:rFonts w:cs="Arial"/>
                <w:b/>
                <w:sz w:val="18"/>
                <w:szCs w:val="18"/>
              </w:rPr>
              <w:t>:</w:t>
            </w:r>
          </w:p>
        </w:tc>
        <w:tc>
          <w:tcPr>
            <w:tcW w:w="5386" w:type="dxa"/>
            <w:shd w:val="clear" w:color="auto" w:fill="auto"/>
          </w:tcPr>
          <w:p w:rsidR="003C4396" w:rsidRPr="00F1664D" w:rsidRDefault="003C4396"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35DEF" w:rsidRPr="00F1664D" w:rsidTr="003C4396">
        <w:trPr>
          <w:trHeight w:val="737"/>
        </w:trPr>
        <w:tc>
          <w:tcPr>
            <w:tcW w:w="4362" w:type="dxa"/>
            <w:shd w:val="clear" w:color="auto" w:fill="auto"/>
          </w:tcPr>
          <w:p w:rsidR="00F01D1E" w:rsidRDefault="00C35DEF" w:rsidP="0076668E">
            <w:pPr>
              <w:spacing w:before="20" w:after="20"/>
              <w:rPr>
                <w:rFonts w:cs="Arial"/>
                <w:b/>
              </w:rPr>
            </w:pPr>
            <w:r>
              <w:rPr>
                <w:rFonts w:cs="Arial"/>
                <w:b/>
              </w:rPr>
              <w:t>Inverkehrbringer:</w:t>
            </w:r>
          </w:p>
          <w:p w:rsidR="00C35DEF" w:rsidRDefault="00F01D1E" w:rsidP="0076668E">
            <w:pPr>
              <w:spacing w:before="20" w:after="20"/>
              <w:rPr>
                <w:rFonts w:cs="Arial"/>
                <w:b/>
              </w:rPr>
            </w:pPr>
            <w:r w:rsidRPr="00F01D1E">
              <w:rPr>
                <w:rFonts w:cs="Arial"/>
                <w:sz w:val="18"/>
                <w:szCs w:val="18"/>
              </w:rPr>
              <w:t>(vollständige Anschrift)</w:t>
            </w:r>
            <w:r w:rsidR="00C35DEF" w:rsidRPr="00F01D1E">
              <w:rPr>
                <w:rFonts w:cs="Arial"/>
                <w:sz w:val="18"/>
                <w:szCs w:val="18"/>
              </w:rPr>
              <w:br/>
              <w:t>(</w:t>
            </w:r>
            <w:r w:rsidR="00546FB1" w:rsidRPr="00F01D1E">
              <w:rPr>
                <w:rFonts w:cs="Arial"/>
                <w:sz w:val="18"/>
                <w:szCs w:val="18"/>
              </w:rPr>
              <w:t>D</w:t>
            </w:r>
            <w:r w:rsidR="00C35DEF" w:rsidRPr="00F01D1E">
              <w:rPr>
                <w:rFonts w:cs="Arial"/>
                <w:sz w:val="18"/>
                <w:szCs w:val="18"/>
              </w:rPr>
              <w:t>erjenige, der mit dem Zeichen wirbt)</w:t>
            </w:r>
          </w:p>
        </w:tc>
        <w:tc>
          <w:tcPr>
            <w:tcW w:w="5386" w:type="dxa"/>
            <w:shd w:val="clear" w:color="auto" w:fill="auto"/>
          </w:tcPr>
          <w:p w:rsidR="00C35DEF" w:rsidRPr="00F1664D" w:rsidRDefault="00C35DEF" w:rsidP="0076668E">
            <w:pPr>
              <w:spacing w:before="20" w:after="20"/>
              <w:rPr>
                <w:rFonts w:cs="Arial"/>
              </w:rPr>
            </w:pPr>
          </w:p>
        </w:tc>
      </w:tr>
    </w:tbl>
    <w:p w:rsidR="005408E9" w:rsidRPr="00F1664D" w:rsidRDefault="005408E9" w:rsidP="00B25A65">
      <w:pPr>
        <w:rPr>
          <w:rFonts w:cs="Arial"/>
        </w:rPr>
      </w:pPr>
    </w:p>
    <w:p w:rsidR="00A238F1" w:rsidRPr="00F1664D" w:rsidRDefault="00A238F1" w:rsidP="00B25A65">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3C4396" w:rsidRPr="003C7026" w:rsidTr="004751AD">
        <w:trPr>
          <w:trHeight w:val="349"/>
        </w:trPr>
        <w:tc>
          <w:tcPr>
            <w:tcW w:w="1231" w:type="dxa"/>
            <w:shd w:val="clear" w:color="auto" w:fill="auto"/>
          </w:tcPr>
          <w:p w:rsidR="003C4396" w:rsidRPr="00F87315" w:rsidRDefault="002C3F22" w:rsidP="004751AD">
            <w:pPr>
              <w:pStyle w:val="Textkrper"/>
              <w:tabs>
                <w:tab w:val="left" w:pos="8222"/>
              </w:tabs>
              <w:spacing w:line="240" w:lineRule="auto"/>
              <w:jc w:val="left"/>
              <w:rPr>
                <w:b/>
                <w:sz w:val="22"/>
              </w:rPr>
            </w:pPr>
            <w:r>
              <w:rPr>
                <w:b/>
                <w:sz w:val="22"/>
              </w:rPr>
              <w:t>Ziffer</w:t>
            </w:r>
            <w:r w:rsidR="006B237C">
              <w:rPr>
                <w:b/>
                <w:sz w:val="22"/>
              </w:rPr>
              <w:t>:</w:t>
            </w:r>
          </w:p>
        </w:tc>
        <w:tc>
          <w:tcPr>
            <w:tcW w:w="8581" w:type="dxa"/>
            <w:shd w:val="clear" w:color="auto" w:fill="auto"/>
          </w:tcPr>
          <w:p w:rsidR="003C4396" w:rsidRPr="00090161" w:rsidRDefault="003C4396" w:rsidP="001762C3">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sidR="00703364">
              <w:rPr>
                <w:rFonts w:ascii="Verdana" w:hAnsi="Verdana"/>
                <w:sz w:val="20"/>
                <w:szCs w:val="20"/>
              </w:rPr>
              <w:t xml:space="preserve"> dass</w:t>
            </w:r>
          </w:p>
        </w:tc>
      </w:tr>
      <w:tr w:rsidR="00420FE8" w:rsidRPr="003C7026" w:rsidTr="006E052A">
        <w:trPr>
          <w:trHeight w:val="516"/>
        </w:trPr>
        <w:tc>
          <w:tcPr>
            <w:tcW w:w="1231" w:type="dxa"/>
            <w:shd w:val="clear" w:color="auto" w:fill="auto"/>
          </w:tcPr>
          <w:p w:rsidR="00420FE8" w:rsidRPr="00F87315" w:rsidRDefault="00420FE8" w:rsidP="00420FE8">
            <w:pPr>
              <w:pStyle w:val="Textkrper"/>
              <w:tabs>
                <w:tab w:val="left" w:pos="8222"/>
              </w:tabs>
              <w:spacing w:line="240" w:lineRule="auto"/>
              <w:jc w:val="left"/>
              <w:rPr>
                <w:b/>
                <w:sz w:val="22"/>
              </w:rPr>
            </w:pPr>
            <w:r w:rsidRPr="00F87315">
              <w:rPr>
                <w:b/>
                <w:sz w:val="22"/>
              </w:rPr>
              <w:t>3.1</w:t>
            </w:r>
          </w:p>
        </w:tc>
        <w:tc>
          <w:tcPr>
            <w:tcW w:w="8581" w:type="dxa"/>
            <w:shd w:val="clear" w:color="auto" w:fill="auto"/>
          </w:tcPr>
          <w:p w:rsidR="00420FE8" w:rsidRPr="00090161"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sz w:val="20"/>
                <w:szCs w:val="20"/>
              </w:rPr>
              <w:t>-</w:t>
            </w:r>
            <w:r w:rsidR="006E7D67">
              <w:rPr>
                <w:rFonts w:ascii="Verdana" w:hAnsi="Verdana"/>
                <w:sz w:val="20"/>
                <w:szCs w:val="20"/>
              </w:rPr>
              <w:tab/>
            </w:r>
            <w:r w:rsidRPr="004751AD">
              <w:rPr>
                <w:rFonts w:ascii="Verdana" w:hAnsi="Verdana"/>
                <w:b/>
                <w:sz w:val="20"/>
                <w:szCs w:val="20"/>
              </w:rPr>
              <w:t xml:space="preserve">das Produkt zu 100 % </w:t>
            </w:r>
            <w:r w:rsidR="00FE7534" w:rsidRPr="00DB1E20">
              <w:rPr>
                <w:rFonts w:ascii="Verdana" w:hAnsi="Verdana"/>
                <w:b/>
                <w:sz w:val="20"/>
                <w:szCs w:val="20"/>
                <w:u w:val="single"/>
              </w:rPr>
              <w:t xml:space="preserve">ausschließlich </w:t>
            </w:r>
            <w:r w:rsidRPr="00DB1E20">
              <w:rPr>
                <w:rFonts w:ascii="Verdana" w:hAnsi="Verdana"/>
                <w:b/>
                <w:sz w:val="20"/>
                <w:szCs w:val="20"/>
                <w:u w:val="single"/>
              </w:rPr>
              <w:t>aus Altpapier</w:t>
            </w:r>
            <w:r w:rsidR="004751AD" w:rsidRPr="00DB1E20">
              <w:rPr>
                <w:rFonts w:ascii="Verdana" w:hAnsi="Verdana"/>
                <w:b/>
                <w:sz w:val="20"/>
                <w:szCs w:val="20"/>
                <w:u w:val="single"/>
              </w:rPr>
              <w:t>-Fasern</w:t>
            </w:r>
            <w:r w:rsidRPr="004751AD">
              <w:rPr>
                <w:rFonts w:ascii="Verdana" w:hAnsi="Verdana"/>
                <w:b/>
                <w:sz w:val="20"/>
                <w:szCs w:val="20"/>
              </w:rPr>
              <w:t xml:space="preserve"> besteht</w:t>
            </w:r>
            <w:r w:rsidRPr="00090161">
              <w:rPr>
                <w:rFonts w:ascii="Verdana" w:hAnsi="Verdana"/>
                <w:sz w:val="20"/>
                <w:szCs w:val="20"/>
              </w:rPr>
              <w:t>,</w:t>
            </w:r>
          </w:p>
        </w:tc>
      </w:tr>
      <w:tr w:rsidR="004751AD" w:rsidRPr="003C7026" w:rsidTr="006E052A">
        <w:trPr>
          <w:trHeight w:val="516"/>
        </w:trPr>
        <w:tc>
          <w:tcPr>
            <w:tcW w:w="1231" w:type="dxa"/>
            <w:shd w:val="clear" w:color="auto" w:fill="auto"/>
          </w:tcPr>
          <w:p w:rsidR="004751AD" w:rsidRPr="00F87315" w:rsidRDefault="004751AD" w:rsidP="00420FE8">
            <w:pPr>
              <w:pStyle w:val="Textkrper"/>
              <w:tabs>
                <w:tab w:val="left" w:pos="8222"/>
              </w:tabs>
              <w:spacing w:line="240" w:lineRule="auto"/>
              <w:jc w:val="left"/>
              <w:rPr>
                <w:b/>
                <w:sz w:val="22"/>
              </w:rPr>
            </w:pPr>
          </w:p>
        </w:tc>
        <w:tc>
          <w:tcPr>
            <w:tcW w:w="8581" w:type="dxa"/>
            <w:shd w:val="clear" w:color="auto" w:fill="auto"/>
          </w:tcPr>
          <w:p w:rsidR="004751AD" w:rsidRPr="00090161" w:rsidRDefault="004751AD" w:rsidP="006E7D67">
            <w:pPr>
              <w:pStyle w:val="Textkrper"/>
              <w:numPr>
                <w:ilvl w:val="0"/>
                <w:numId w:val="33"/>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ausschließlich Fasersorten</w:t>
            </w:r>
            <w:r w:rsidR="007A200F">
              <w:rPr>
                <w:rFonts w:ascii="Verdana" w:hAnsi="Verdana"/>
                <w:sz w:val="20"/>
                <w:szCs w:val="20"/>
              </w:rPr>
              <w:t xml:space="preserve"> </w:t>
            </w:r>
            <w:r>
              <w:rPr>
                <w:rFonts w:ascii="Verdana" w:hAnsi="Verdana"/>
                <w:sz w:val="20"/>
                <w:szCs w:val="20"/>
              </w:rPr>
              <w:t xml:space="preserve">eingesetzt werden, die gemäß DIN EN 643:2014-11 </w:t>
            </w:r>
            <w:r w:rsidR="00CD55CE">
              <w:rPr>
                <w:rFonts w:ascii="Verdana" w:hAnsi="Verdana"/>
                <w:sz w:val="20"/>
                <w:szCs w:val="20"/>
              </w:rPr>
              <w:t xml:space="preserve">         </w:t>
            </w:r>
            <w:r>
              <w:rPr>
                <w:rFonts w:ascii="Verdana" w:hAnsi="Verdana"/>
                <w:sz w:val="20"/>
                <w:szCs w:val="20"/>
              </w:rPr>
              <w:t>definiert sind,</w:t>
            </w:r>
          </w:p>
        </w:tc>
      </w:tr>
      <w:tr w:rsidR="00420FE8" w:rsidRPr="003C7026" w:rsidTr="006E052A">
        <w:tc>
          <w:tcPr>
            <w:tcW w:w="1231" w:type="dxa"/>
            <w:shd w:val="clear" w:color="auto" w:fill="auto"/>
          </w:tcPr>
          <w:p w:rsidR="00420FE8" w:rsidRPr="00F87315" w:rsidRDefault="00091FF3" w:rsidP="00420FE8">
            <w:pPr>
              <w:pStyle w:val="Textkrper"/>
              <w:tabs>
                <w:tab w:val="left" w:pos="8222"/>
              </w:tabs>
              <w:spacing w:line="240" w:lineRule="auto"/>
              <w:jc w:val="left"/>
              <w:rPr>
                <w:b/>
                <w:sz w:val="22"/>
              </w:rPr>
            </w:pPr>
            <w:r>
              <w:rPr>
                <w:b/>
                <w:sz w:val="22"/>
              </w:rPr>
              <w:t>3.2</w:t>
            </w:r>
          </w:p>
        </w:tc>
        <w:tc>
          <w:tcPr>
            <w:tcW w:w="8581" w:type="dxa"/>
            <w:shd w:val="clear" w:color="auto" w:fill="auto"/>
          </w:tcPr>
          <w:p w:rsidR="00420FE8" w:rsidRPr="00090161"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sz w:val="20"/>
                <w:szCs w:val="20"/>
              </w:rPr>
              <w:t>-</w:t>
            </w:r>
            <w:r w:rsidR="006E7D67">
              <w:rPr>
                <w:rFonts w:ascii="Verdana" w:hAnsi="Verdana"/>
                <w:sz w:val="20"/>
                <w:szCs w:val="20"/>
              </w:rPr>
              <w:tab/>
            </w:r>
            <w:r w:rsidRPr="00090161">
              <w:rPr>
                <w:rFonts w:ascii="Verdana" w:hAnsi="Verdana"/>
                <w:sz w:val="20"/>
                <w:szCs w:val="20"/>
              </w:rPr>
              <w:t>alternativ nur dann DIPN-haltige Altpapiersorten (2.05</w:t>
            </w:r>
            <w:r w:rsidR="00145FE0">
              <w:rPr>
                <w:rFonts w:ascii="Verdana" w:hAnsi="Verdana"/>
                <w:sz w:val="20"/>
                <w:szCs w:val="20"/>
              </w:rPr>
              <w:t>.00, 2.05.01</w:t>
            </w:r>
            <w:r w:rsidRPr="00090161">
              <w:rPr>
                <w:rFonts w:ascii="Verdana" w:hAnsi="Verdana"/>
                <w:sz w:val="20"/>
                <w:szCs w:val="20"/>
              </w:rPr>
              <w:t>, 2.06</w:t>
            </w:r>
            <w:r w:rsidR="00145FE0">
              <w:rPr>
                <w:rFonts w:ascii="Verdana" w:hAnsi="Verdana"/>
                <w:sz w:val="20"/>
                <w:szCs w:val="20"/>
              </w:rPr>
              <w:t>.00, 2.06.01</w:t>
            </w:r>
            <w:r w:rsidRPr="00090161">
              <w:rPr>
                <w:rFonts w:ascii="Verdana" w:hAnsi="Verdana"/>
                <w:sz w:val="20"/>
                <w:szCs w:val="20"/>
              </w:rPr>
              <w:t xml:space="preserve"> und 5.09) eingesetzt werden, wenn ein effizientes technisches System (z. B. Deinking) besteht, mit dem DIPN überwiegend aus dem Faserkreislauf ausgeschleust wird,</w:t>
            </w:r>
          </w:p>
          <w:p w:rsidR="00420FE8" w:rsidRPr="00090161"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sz w:val="20"/>
                <w:szCs w:val="20"/>
              </w:rPr>
              <w:t>-</w:t>
            </w:r>
            <w:r w:rsidR="006E7D67">
              <w:rPr>
                <w:rFonts w:ascii="Verdana" w:hAnsi="Verdana"/>
                <w:sz w:val="20"/>
                <w:szCs w:val="20"/>
              </w:rPr>
              <w:tab/>
            </w:r>
            <w:r w:rsidRPr="00090161">
              <w:rPr>
                <w:rFonts w:ascii="Verdana" w:hAnsi="Verdana"/>
                <w:sz w:val="20"/>
                <w:szCs w:val="20"/>
              </w:rPr>
              <w:t>dass bei</w:t>
            </w:r>
            <w:r w:rsidR="00090161" w:rsidRPr="00090161">
              <w:rPr>
                <w:rFonts w:ascii="Verdana" w:hAnsi="Verdana"/>
                <w:sz w:val="20"/>
                <w:szCs w:val="20"/>
              </w:rPr>
              <w:t>m</w:t>
            </w:r>
            <w:r w:rsidRPr="00090161">
              <w:rPr>
                <w:rFonts w:ascii="Verdana" w:hAnsi="Verdana"/>
                <w:sz w:val="20"/>
                <w:szCs w:val="20"/>
              </w:rPr>
              <w:t xml:space="preserve"> alternativen Einsetzen der Sorten </w:t>
            </w:r>
            <w:r w:rsidR="00B07A76" w:rsidRPr="00B07A76">
              <w:rPr>
                <w:rFonts w:ascii="Verdana" w:hAnsi="Verdana"/>
                <w:sz w:val="20"/>
                <w:szCs w:val="20"/>
              </w:rPr>
              <w:t>2.05.00, 2.05.01, 2.06.00, 2.06.01</w:t>
            </w:r>
            <w:r w:rsidR="00B07A76">
              <w:t xml:space="preserve"> </w:t>
            </w:r>
            <w:r w:rsidRPr="00090161">
              <w:rPr>
                <w:rFonts w:ascii="Verdana" w:hAnsi="Verdana"/>
                <w:sz w:val="20"/>
                <w:szCs w:val="20"/>
              </w:rPr>
              <w:t xml:space="preserve">und 5.09 der DIPN-Gehalt im Fertigprodukt maximal 50 mg/kg beträgt </w:t>
            </w:r>
            <w:r w:rsidR="00090161" w:rsidRPr="00090161">
              <w:rPr>
                <w:rFonts w:ascii="Verdana" w:hAnsi="Verdana"/>
                <w:sz w:val="20"/>
                <w:szCs w:val="20"/>
              </w:rPr>
              <w:br/>
            </w:r>
            <w:r w:rsidRPr="00090161">
              <w:rPr>
                <w:rFonts w:ascii="Verdana" w:hAnsi="Verdana"/>
                <w:sz w:val="20"/>
                <w:szCs w:val="20"/>
              </w:rPr>
              <w:t xml:space="preserve">(Messungen </w:t>
            </w:r>
            <w:r w:rsidRPr="00090161">
              <w:rPr>
                <w:rFonts w:ascii="Verdana" w:hAnsi="Verdana"/>
                <w:b/>
                <w:sz w:val="20"/>
                <w:szCs w:val="20"/>
              </w:rPr>
              <w:t>einmal jährlich</w:t>
            </w:r>
            <w:r w:rsidRPr="00090161">
              <w:rPr>
                <w:rFonts w:ascii="Verdana" w:hAnsi="Verdana"/>
                <w:sz w:val="20"/>
                <w:szCs w:val="20"/>
              </w:rPr>
              <w:t xml:space="preserve"> gemäß DIN EN 14719),</w:t>
            </w:r>
            <w:r w:rsidR="00090161" w:rsidRPr="00090161">
              <w:rPr>
                <w:rFonts w:ascii="Verdana" w:hAnsi="Verdana"/>
                <w:sz w:val="20"/>
                <w:szCs w:val="20"/>
              </w:rPr>
              <w:br/>
            </w:r>
          </w:p>
        </w:tc>
      </w:tr>
      <w:tr w:rsidR="00420FE8" w:rsidRPr="003C7026" w:rsidTr="006E052A">
        <w:tc>
          <w:tcPr>
            <w:tcW w:w="1231" w:type="dxa"/>
            <w:shd w:val="clear" w:color="auto" w:fill="auto"/>
          </w:tcPr>
          <w:p w:rsidR="00420FE8" w:rsidRPr="00F87315" w:rsidRDefault="00420FE8" w:rsidP="00420FE8">
            <w:pPr>
              <w:pStyle w:val="Textkrper"/>
              <w:tabs>
                <w:tab w:val="left" w:pos="8222"/>
              </w:tabs>
              <w:spacing w:line="240" w:lineRule="auto"/>
              <w:jc w:val="left"/>
              <w:rPr>
                <w:b/>
                <w:sz w:val="22"/>
              </w:rPr>
            </w:pPr>
            <w:r w:rsidRPr="00F87315">
              <w:rPr>
                <w:b/>
                <w:sz w:val="22"/>
              </w:rPr>
              <w:t>3.</w:t>
            </w:r>
            <w:r w:rsidR="00090161">
              <w:rPr>
                <w:b/>
                <w:sz w:val="22"/>
              </w:rPr>
              <w:t>3</w:t>
            </w:r>
          </w:p>
        </w:tc>
        <w:tc>
          <w:tcPr>
            <w:tcW w:w="8581" w:type="dxa"/>
            <w:shd w:val="clear" w:color="auto" w:fill="auto"/>
          </w:tcPr>
          <w:p w:rsidR="00420FE8" w:rsidRPr="00090161"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sz w:val="20"/>
                <w:szCs w:val="20"/>
              </w:rPr>
              <w:t>-</w:t>
            </w:r>
            <w:r w:rsidR="006E7D67">
              <w:rPr>
                <w:rFonts w:ascii="Verdana" w:hAnsi="Verdana"/>
                <w:sz w:val="20"/>
                <w:szCs w:val="20"/>
              </w:rPr>
              <w:tab/>
            </w:r>
            <w:r w:rsidRPr="00090161">
              <w:rPr>
                <w:rFonts w:ascii="Verdana" w:hAnsi="Verdana"/>
                <w:b/>
                <w:sz w:val="20"/>
                <w:szCs w:val="20"/>
              </w:rPr>
              <w:t>einmal jährlich</w:t>
            </w:r>
            <w:r w:rsidRPr="00090161">
              <w:rPr>
                <w:rFonts w:ascii="Verdana" w:hAnsi="Verdana"/>
                <w:sz w:val="20"/>
                <w:szCs w:val="20"/>
              </w:rPr>
              <w:t xml:space="preserve"> der Gehalt von Bisphenol A </w:t>
            </w:r>
            <w:r w:rsidR="00090161" w:rsidRPr="00090161">
              <w:rPr>
                <w:rFonts w:ascii="Verdana" w:hAnsi="Verdana"/>
                <w:sz w:val="20"/>
                <w:szCs w:val="20"/>
              </w:rPr>
              <w:t xml:space="preserve">und Bisphenol S </w:t>
            </w:r>
            <w:r w:rsidRPr="00090161">
              <w:rPr>
                <w:rFonts w:ascii="Verdana" w:hAnsi="Verdana"/>
                <w:sz w:val="20"/>
                <w:szCs w:val="20"/>
              </w:rPr>
              <w:t>zu statistischen Zwecken durch ein neutrales Prüfinstitut (zertifiziert nach ISO 17025) bestimmt und RAL gGmbH vorgelegt wird,</w:t>
            </w:r>
            <w:r w:rsidR="00090161" w:rsidRPr="00090161">
              <w:rPr>
                <w:rFonts w:ascii="Verdana" w:hAnsi="Verdana"/>
                <w:sz w:val="20"/>
                <w:szCs w:val="20"/>
              </w:rPr>
              <w:br/>
            </w:r>
          </w:p>
        </w:tc>
      </w:tr>
    </w:tbl>
    <w:p w:rsidR="006E7D67" w:rsidRDefault="006E7D67" w:rsidP="00420FE8">
      <w:pPr>
        <w:pStyle w:val="Textkrper"/>
        <w:tabs>
          <w:tab w:val="left" w:pos="8222"/>
        </w:tabs>
        <w:spacing w:line="240" w:lineRule="auto"/>
        <w:jc w:val="left"/>
        <w:rPr>
          <w:b/>
          <w:sz w:val="22"/>
        </w:rPr>
        <w:sectPr w:rsidR="006E7D67" w:rsidSect="00581C26">
          <w:headerReference w:type="even" r:id="rId8"/>
          <w:headerReference w:type="default" r:id="rId9"/>
          <w:footerReference w:type="even" r:id="rId10"/>
          <w:footerReference w:type="default" r:id="rId11"/>
          <w:headerReference w:type="first" r:id="rId12"/>
          <w:footerReference w:type="first" r:id="rId13"/>
          <w:pgSz w:w="11906" w:h="16838"/>
          <w:pgMar w:top="1134" w:right="1276" w:bottom="1134" w:left="1276" w:header="1417"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420FE8" w:rsidRPr="003C7026" w:rsidTr="006E052A">
        <w:tc>
          <w:tcPr>
            <w:tcW w:w="1231" w:type="dxa"/>
            <w:shd w:val="clear" w:color="auto" w:fill="auto"/>
          </w:tcPr>
          <w:p w:rsidR="00420FE8" w:rsidRPr="00F87315" w:rsidRDefault="00420FE8" w:rsidP="00420FE8">
            <w:pPr>
              <w:pStyle w:val="Textkrper"/>
              <w:tabs>
                <w:tab w:val="left" w:pos="8222"/>
              </w:tabs>
              <w:spacing w:line="240" w:lineRule="auto"/>
              <w:jc w:val="left"/>
              <w:rPr>
                <w:b/>
                <w:sz w:val="22"/>
              </w:rPr>
            </w:pPr>
            <w:r w:rsidRPr="00F87315">
              <w:rPr>
                <w:b/>
                <w:sz w:val="22"/>
              </w:rPr>
              <w:lastRenderedPageBreak/>
              <w:t>3.</w:t>
            </w:r>
            <w:r w:rsidR="00090161">
              <w:rPr>
                <w:b/>
                <w:sz w:val="22"/>
              </w:rPr>
              <w:t>4</w:t>
            </w:r>
          </w:p>
        </w:tc>
        <w:tc>
          <w:tcPr>
            <w:tcW w:w="8581" w:type="dxa"/>
            <w:shd w:val="clear" w:color="auto" w:fill="auto"/>
          </w:tcPr>
          <w:p w:rsidR="00090161" w:rsidRPr="00090161"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r w:rsidRPr="00090161">
              <w:rPr>
                <w:rFonts w:ascii="Verdana" w:hAnsi="Verdana"/>
                <w:sz w:val="20"/>
                <w:szCs w:val="20"/>
              </w:rPr>
              <w:t>-</w:t>
            </w:r>
            <w:r w:rsidR="006E7D67">
              <w:rPr>
                <w:rFonts w:ascii="Verdana" w:hAnsi="Verdana"/>
                <w:sz w:val="20"/>
                <w:szCs w:val="20"/>
              </w:rPr>
              <w:tab/>
            </w:r>
            <w:r w:rsidR="00090161" w:rsidRPr="00090161">
              <w:rPr>
                <w:rFonts w:ascii="Verdana" w:hAnsi="Verdana"/>
                <w:sz w:val="20"/>
                <w:szCs w:val="20"/>
              </w:rPr>
              <w:t xml:space="preserve">keine </w:t>
            </w:r>
            <w:proofErr w:type="spellStart"/>
            <w:r w:rsidR="00090161" w:rsidRPr="00090161">
              <w:rPr>
                <w:rFonts w:ascii="Verdana" w:hAnsi="Verdana"/>
                <w:sz w:val="20"/>
                <w:szCs w:val="20"/>
              </w:rPr>
              <w:t>Fabrikationshilfsstoffe</w:t>
            </w:r>
            <w:proofErr w:type="spellEnd"/>
            <w:r w:rsidR="00090161" w:rsidRPr="00090161">
              <w:rPr>
                <w:rFonts w:ascii="Verdana" w:hAnsi="Verdana"/>
                <w:sz w:val="20"/>
                <w:szCs w:val="20"/>
              </w:rPr>
              <w:t xml:space="preserve">, Papierveredelungsstoffe, Beschichtungsstoffe und Farbmittel </w:t>
            </w:r>
            <w:proofErr w:type="gramStart"/>
            <w:r w:rsidRPr="00090161">
              <w:rPr>
                <w:rFonts w:ascii="Verdana" w:hAnsi="Verdana"/>
                <w:sz w:val="20"/>
                <w:szCs w:val="20"/>
              </w:rPr>
              <w:t>verwendet</w:t>
            </w:r>
            <w:proofErr w:type="gramEnd"/>
            <w:r w:rsidRPr="00090161">
              <w:rPr>
                <w:rFonts w:ascii="Verdana" w:hAnsi="Verdana"/>
                <w:sz w:val="20"/>
                <w:szCs w:val="20"/>
              </w:rPr>
              <w:t xml:space="preserve"> werden, die </w:t>
            </w:r>
            <w:r w:rsidR="00090161" w:rsidRPr="00090161">
              <w:rPr>
                <w:rFonts w:ascii="Verdana" w:hAnsi="Verdana"/>
                <w:sz w:val="20"/>
                <w:szCs w:val="20"/>
              </w:rPr>
              <w:t>folgende Eigenschaften erfüllen:</w:t>
            </w:r>
          </w:p>
          <w:p w:rsidR="00090161" w:rsidRPr="00090161" w:rsidRDefault="00090161" w:rsidP="006E7D67">
            <w:pPr>
              <w:pStyle w:val="Textkrper"/>
              <w:tabs>
                <w:tab w:val="clear" w:pos="284"/>
                <w:tab w:val="clear" w:pos="851"/>
                <w:tab w:val="left" w:pos="8222"/>
              </w:tabs>
              <w:spacing w:line="240" w:lineRule="auto"/>
              <w:ind w:left="219" w:hanging="284"/>
              <w:jc w:val="left"/>
              <w:rPr>
                <w:rFonts w:ascii="Verdana" w:hAnsi="Verdana"/>
                <w:sz w:val="20"/>
                <w:szCs w:val="20"/>
              </w:rPr>
            </w:pPr>
          </w:p>
          <w:p w:rsidR="006E7D67" w:rsidRPr="007A77CC" w:rsidRDefault="009A2FA7" w:rsidP="006E7D67">
            <w:pPr>
              <w:pStyle w:val="AnhangAufzhlungBuchstabe"/>
              <w:numPr>
                <w:ilvl w:val="4"/>
                <w:numId w:val="32"/>
              </w:numPr>
              <w:ind w:left="219" w:hanging="284"/>
            </w:pPr>
            <w:r w:rsidRPr="007A77CC">
              <w:t>Es dürfen keine Stoffe eingesetzt werden,</w:t>
            </w:r>
          </w:p>
          <w:p w:rsidR="009A2FA7" w:rsidRPr="007A77CC" w:rsidRDefault="009A2FA7" w:rsidP="006E7D67">
            <w:pPr>
              <w:pStyle w:val="AnhangAufzhlungBuchstabe"/>
              <w:numPr>
                <w:ilvl w:val="0"/>
                <w:numId w:val="0"/>
              </w:numPr>
              <w:ind w:left="219"/>
            </w:pPr>
            <w:r w:rsidRPr="007A77CC">
              <w:t>die gemäß Artikel 57 Absatz 1 der EG-Verordnung 1907/2006 (REACH) als besonders besorgniserregend identifiziert wurden und in die gemäß Artikel 59 Absatz 1 derselben Verordnung erstellte Liste, die sogenannte "Kandidatenliste"</w:t>
            </w:r>
            <w:r w:rsidR="006D11F3" w:rsidRPr="007A77CC">
              <w:t>;</w:t>
            </w:r>
            <w:r w:rsidRPr="007A77CC">
              <w:t xml:space="preserve"> aufgenommen wurden </w:t>
            </w:r>
            <w:r w:rsidR="006E7D67" w:rsidRPr="007A77CC">
              <w:t>[</w:t>
            </w:r>
            <w:r w:rsidRPr="007A77CC">
              <w:t>besonders besorgniserregende Stoffe (SVHC)</w:t>
            </w:r>
            <w:r w:rsidR="006E7D67" w:rsidRPr="007A77CC">
              <w:t>].</w:t>
            </w:r>
            <w:r w:rsidRPr="007A77CC">
              <w:br/>
            </w:r>
          </w:p>
          <w:p w:rsidR="009A2FA7" w:rsidRPr="007A77CC" w:rsidRDefault="009A2FA7" w:rsidP="006E7D67">
            <w:pPr>
              <w:pStyle w:val="AnhangAufzhlungBuchstabe"/>
              <w:numPr>
                <w:ilvl w:val="4"/>
                <w:numId w:val="32"/>
              </w:numPr>
              <w:ind w:left="219" w:hanging="284"/>
            </w:pPr>
            <w:r w:rsidRPr="007A77CC">
              <w:t xml:space="preserve">Es dürfen keine Stoffe zugesetzt werden, </w:t>
            </w:r>
          </w:p>
          <w:p w:rsidR="009A2FA7" w:rsidRPr="007A77CC" w:rsidRDefault="009A2FA7" w:rsidP="006E7D67">
            <w:pPr>
              <w:pStyle w:val="AufzhlungPunkt2"/>
              <w:ind w:left="502" w:hanging="284"/>
            </w:pPr>
            <w:r w:rsidRPr="007A77CC">
              <w:t>die gemäß den Kriterien der EG-Verordnung 1272/2008 (CLP) mit den in der folgenden Tabelle 1 genannten H-Sätzen gekennzeichnet sind oder die die Kriterien für eine solche Kennzeichnung erfüllen.</w:t>
            </w:r>
          </w:p>
          <w:p w:rsidR="009A2FA7" w:rsidRPr="007A77CC" w:rsidRDefault="009A2FA7" w:rsidP="006E7D67">
            <w:pPr>
              <w:pStyle w:val="AufzhlungPunkt2"/>
              <w:ind w:left="502" w:hanging="284"/>
            </w:pPr>
            <w:r w:rsidRPr="007A77CC">
              <w:t>oder die entsprechend der jeweils gültigen Fassung der TRGS 905</w:t>
            </w:r>
            <w:r w:rsidRPr="007A77CC">
              <w:rPr>
                <w:rStyle w:val="Funotenzeichen"/>
              </w:rPr>
              <w:footnoteReference w:id="1"/>
            </w:r>
            <w:r w:rsidRPr="007A77CC">
              <w:t xml:space="preserve"> als krebserzeugende, erbgutverändernde oder fortpflanzungsgefährdende Stoffe eingestuft sind.</w:t>
            </w:r>
          </w:p>
          <w:p w:rsidR="00090161" w:rsidRPr="009C70BE" w:rsidRDefault="00090161" w:rsidP="006E7D67">
            <w:pPr>
              <w:spacing w:line="360" w:lineRule="auto"/>
              <w:ind w:left="155" w:hanging="220"/>
              <w:rPr>
                <w:rFonts w:cs="Arial"/>
              </w:rPr>
            </w:pPr>
          </w:p>
          <w:tbl>
            <w:tblPr>
              <w:tblW w:w="7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860"/>
            </w:tblGrid>
            <w:tr w:rsidR="009C70BE" w:rsidRPr="00B06838" w:rsidTr="001762C3">
              <w:trPr>
                <w:tblHeader/>
              </w:trPr>
              <w:tc>
                <w:tcPr>
                  <w:tcW w:w="2268" w:type="dxa"/>
                  <w:shd w:val="clear" w:color="auto" w:fill="auto"/>
                  <w:vAlign w:val="center"/>
                </w:tcPr>
                <w:p w:rsidR="009C70BE" w:rsidRPr="00B06838" w:rsidRDefault="009C70BE" w:rsidP="006E7D67">
                  <w:pPr>
                    <w:spacing w:beforeLines="40" w:before="96" w:afterLines="40" w:after="96"/>
                    <w:ind w:left="155" w:hanging="220"/>
                    <w:rPr>
                      <w:b/>
                    </w:rPr>
                  </w:pPr>
                  <w:r w:rsidRPr="00B06838">
                    <w:rPr>
                      <w:b/>
                    </w:rPr>
                    <w:t>EG-Verordnung 1272/2008 (GHS-Verordnung)</w:t>
                  </w:r>
                </w:p>
              </w:tc>
              <w:tc>
                <w:tcPr>
                  <w:tcW w:w="4860" w:type="dxa"/>
                  <w:shd w:val="clear" w:color="auto" w:fill="auto"/>
                  <w:vAlign w:val="center"/>
                </w:tcPr>
                <w:p w:rsidR="009C70BE" w:rsidRPr="00B06838" w:rsidRDefault="009C70BE" w:rsidP="006E7D67">
                  <w:pPr>
                    <w:spacing w:beforeLines="40" w:before="96" w:afterLines="40" w:after="96"/>
                    <w:ind w:left="155" w:hanging="220"/>
                    <w:rPr>
                      <w:b/>
                    </w:rPr>
                  </w:pPr>
                  <w:r w:rsidRPr="00B06838">
                    <w:rPr>
                      <w:b/>
                    </w:rPr>
                    <w:t>Wortlaut</w:t>
                  </w:r>
                </w:p>
              </w:tc>
            </w:tr>
            <w:tr w:rsidR="009C70BE" w:rsidRPr="00B06838" w:rsidTr="001762C3">
              <w:trPr>
                <w:tblHeader/>
              </w:trPr>
              <w:tc>
                <w:tcPr>
                  <w:tcW w:w="7128" w:type="dxa"/>
                  <w:gridSpan w:val="2"/>
                  <w:shd w:val="clear" w:color="auto" w:fill="auto"/>
                  <w:vAlign w:val="center"/>
                </w:tcPr>
                <w:p w:rsidR="009C70BE" w:rsidRPr="00B06838" w:rsidRDefault="009C70BE" w:rsidP="006E7D67">
                  <w:pPr>
                    <w:spacing w:beforeLines="40" w:before="96" w:afterLines="40" w:after="96"/>
                    <w:ind w:left="155" w:hanging="220"/>
                    <w:rPr>
                      <w:b/>
                    </w:rPr>
                  </w:pPr>
                  <w:r w:rsidRPr="00B06838">
                    <w:rPr>
                      <w:b/>
                    </w:rPr>
                    <w:t xml:space="preserve">Krebserzeugende, erbgutverändernde und </w:t>
                  </w:r>
                  <w:r>
                    <w:rPr>
                      <w:b/>
                    </w:rPr>
                    <w:br/>
                  </w:r>
                  <w:r w:rsidRPr="00B06838">
                    <w:rPr>
                      <w:b/>
                    </w:rPr>
                    <w:t>fortpflanzungsgefährdende Stoffe</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H340</w:t>
                  </w:r>
                </w:p>
              </w:tc>
              <w:tc>
                <w:tcPr>
                  <w:tcW w:w="4860" w:type="dxa"/>
                  <w:shd w:val="clear" w:color="auto" w:fill="auto"/>
                  <w:vAlign w:val="center"/>
                </w:tcPr>
                <w:p w:rsidR="009C70BE" w:rsidRDefault="009C70BE" w:rsidP="006D11F3">
                  <w:pPr>
                    <w:spacing w:beforeLines="40" w:before="96" w:afterLines="40" w:after="96"/>
                  </w:pPr>
                  <w:r>
                    <w:t>Kann genetische Defekte verursachen.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H341</w:t>
                  </w:r>
                </w:p>
              </w:tc>
              <w:tc>
                <w:tcPr>
                  <w:tcW w:w="4860" w:type="dxa"/>
                  <w:shd w:val="clear" w:color="auto" w:fill="auto"/>
                  <w:vAlign w:val="center"/>
                </w:tcPr>
                <w:p w:rsidR="009C70BE" w:rsidRDefault="009C70BE" w:rsidP="006D11F3">
                  <w:pPr>
                    <w:spacing w:beforeLines="40" w:before="96" w:afterLines="40" w:after="96"/>
                  </w:pPr>
                  <w:r>
                    <w:t>Kann vermutlich genetische Defekte</w:t>
                  </w:r>
                  <w:r w:rsidR="006D11F3">
                    <w:br/>
                  </w:r>
                  <w:r>
                    <w:t>verursachen.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H350</w:t>
                  </w:r>
                </w:p>
              </w:tc>
              <w:tc>
                <w:tcPr>
                  <w:tcW w:w="4860" w:type="dxa"/>
                  <w:shd w:val="clear" w:color="auto" w:fill="auto"/>
                  <w:vAlign w:val="center"/>
                </w:tcPr>
                <w:p w:rsidR="009C70BE" w:rsidRDefault="009C70BE" w:rsidP="006D11F3">
                  <w:pPr>
                    <w:spacing w:beforeLines="40" w:before="96" w:afterLines="40" w:after="96"/>
                  </w:pPr>
                  <w:r>
                    <w:t>Kann Krebs erzeugen.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H350i</w:t>
                  </w:r>
                </w:p>
              </w:tc>
              <w:tc>
                <w:tcPr>
                  <w:tcW w:w="4860" w:type="dxa"/>
                  <w:shd w:val="clear" w:color="auto" w:fill="auto"/>
                  <w:vAlign w:val="center"/>
                </w:tcPr>
                <w:p w:rsidR="009C70BE" w:rsidRDefault="009C70BE" w:rsidP="006D11F3">
                  <w:pPr>
                    <w:spacing w:beforeLines="40" w:before="96" w:afterLines="40" w:after="96"/>
                  </w:pPr>
                  <w:r>
                    <w:t>Kann bei Einatmen Krebs erzeugen.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H351</w:t>
                  </w:r>
                </w:p>
              </w:tc>
              <w:tc>
                <w:tcPr>
                  <w:tcW w:w="4860" w:type="dxa"/>
                  <w:shd w:val="clear" w:color="auto" w:fill="auto"/>
                  <w:vAlign w:val="center"/>
                </w:tcPr>
                <w:p w:rsidR="009C70BE" w:rsidRDefault="009C70BE" w:rsidP="006D11F3">
                  <w:pPr>
                    <w:spacing w:beforeLines="40" w:before="96" w:afterLines="40" w:after="96"/>
                  </w:pPr>
                  <w:r>
                    <w:t>Kann vermutlich Krebs erzeugen.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H360F</w:t>
                  </w:r>
                </w:p>
              </w:tc>
              <w:tc>
                <w:tcPr>
                  <w:tcW w:w="4860" w:type="dxa"/>
                  <w:shd w:val="clear" w:color="auto" w:fill="auto"/>
                  <w:vAlign w:val="center"/>
                </w:tcPr>
                <w:p w:rsidR="009C70BE" w:rsidRDefault="009C70BE" w:rsidP="006D11F3">
                  <w:pPr>
                    <w:spacing w:beforeLines="40" w:before="96" w:afterLines="40" w:after="96"/>
                  </w:pPr>
                  <w:r>
                    <w:t>Kann die Fruchtbarkeit beeinträchtigen.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H360D</w:t>
                  </w:r>
                </w:p>
              </w:tc>
              <w:tc>
                <w:tcPr>
                  <w:tcW w:w="4860" w:type="dxa"/>
                  <w:shd w:val="clear" w:color="auto" w:fill="auto"/>
                  <w:vAlign w:val="center"/>
                </w:tcPr>
                <w:p w:rsidR="009C70BE" w:rsidRDefault="009C70BE" w:rsidP="006D11F3">
                  <w:pPr>
                    <w:spacing w:beforeLines="40" w:before="96" w:afterLines="40" w:after="96"/>
                  </w:pPr>
                  <w:r>
                    <w:t>Kann das Kind im Mutterleib schädigen.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H360FD</w:t>
                  </w:r>
                </w:p>
              </w:tc>
              <w:tc>
                <w:tcPr>
                  <w:tcW w:w="4860" w:type="dxa"/>
                  <w:shd w:val="clear" w:color="auto" w:fill="auto"/>
                  <w:vAlign w:val="center"/>
                </w:tcPr>
                <w:p w:rsidR="009C70BE" w:rsidRPr="006D11F3" w:rsidRDefault="009C70BE" w:rsidP="006D11F3">
                  <w:pPr>
                    <w:spacing w:beforeLines="40" w:before="96" w:afterLines="40" w:after="96"/>
                  </w:pPr>
                  <w:r w:rsidRPr="006D11F3">
                    <w:t>Kann die Fruchtbarkeit beeinträchtigen.</w:t>
                  </w:r>
                  <w:r w:rsidR="006E7D67" w:rsidRPr="006D11F3">
                    <w:br/>
                  </w:r>
                  <w:r w:rsidRPr="006D11F3">
                    <w:t>Kann das Kind im Mutterleib schädigen.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H360Fd</w:t>
                  </w:r>
                </w:p>
              </w:tc>
              <w:tc>
                <w:tcPr>
                  <w:tcW w:w="4860" w:type="dxa"/>
                  <w:shd w:val="clear" w:color="auto" w:fill="auto"/>
                  <w:vAlign w:val="center"/>
                </w:tcPr>
                <w:p w:rsidR="009C70BE" w:rsidRDefault="009C70BE" w:rsidP="006D11F3">
                  <w:pPr>
                    <w:spacing w:beforeLines="40" w:before="96" w:afterLines="40" w:after="96"/>
                  </w:pPr>
                  <w:r>
                    <w:t>Kann die Fruchtbarkeit beeinträchtigen.</w:t>
                  </w:r>
                  <w:r w:rsidR="006D11F3">
                    <w:br/>
                  </w:r>
                  <w:r>
                    <w:t>Kann vermutlich das Kind im Mutterleib</w:t>
                  </w:r>
                  <w:r w:rsidR="006D11F3">
                    <w:br/>
                  </w:r>
                  <w:r>
                    <w:t>schädigen.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H360Df</w:t>
                  </w:r>
                </w:p>
              </w:tc>
              <w:tc>
                <w:tcPr>
                  <w:tcW w:w="4860" w:type="dxa"/>
                  <w:shd w:val="clear" w:color="auto" w:fill="auto"/>
                  <w:vAlign w:val="center"/>
                </w:tcPr>
                <w:p w:rsidR="009C70BE" w:rsidRDefault="009C70BE" w:rsidP="006D11F3">
                  <w:pPr>
                    <w:spacing w:beforeLines="40" w:before="96" w:afterLines="40" w:after="96"/>
                  </w:pPr>
                  <w:r>
                    <w:t>Kann das Kind im Mutterleib schädigen.</w:t>
                  </w:r>
                  <w:r>
                    <w:br/>
                    <w:t>Kann vermutlich die Fruchtbarkeit</w:t>
                  </w:r>
                  <w:r w:rsidR="006D11F3">
                    <w:br/>
                  </w:r>
                  <w:r>
                    <w:t>beeinträchtigen.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lastRenderedPageBreak/>
                    <w:t>H361f</w:t>
                  </w:r>
                </w:p>
              </w:tc>
              <w:tc>
                <w:tcPr>
                  <w:tcW w:w="4860" w:type="dxa"/>
                  <w:shd w:val="clear" w:color="auto" w:fill="auto"/>
                  <w:vAlign w:val="center"/>
                </w:tcPr>
                <w:p w:rsidR="009C70BE" w:rsidRDefault="009C70BE" w:rsidP="006D11F3">
                  <w:pPr>
                    <w:spacing w:beforeLines="40" w:before="96" w:afterLines="40" w:after="96"/>
                  </w:pPr>
                  <w:r>
                    <w:t>Kann vermutlich die Fruchtbarkeit</w:t>
                  </w:r>
                  <w:r w:rsidR="006D11F3">
                    <w:br/>
                  </w:r>
                  <w:r>
                    <w:t>beeinträchtigen.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H361d</w:t>
                  </w:r>
                </w:p>
              </w:tc>
              <w:tc>
                <w:tcPr>
                  <w:tcW w:w="4860" w:type="dxa"/>
                  <w:shd w:val="clear" w:color="auto" w:fill="auto"/>
                  <w:vAlign w:val="center"/>
                </w:tcPr>
                <w:p w:rsidR="009C70BE" w:rsidRDefault="009C70BE" w:rsidP="006D11F3">
                  <w:pPr>
                    <w:spacing w:beforeLines="40" w:before="96" w:afterLines="40" w:after="96"/>
                  </w:pPr>
                  <w:r>
                    <w:t>Kann vermutlich das Kind im Mutterleib</w:t>
                  </w:r>
                  <w:r w:rsidR="006D11F3">
                    <w:br/>
                  </w:r>
                  <w:r>
                    <w:t>schädigen.</w:t>
                  </w:r>
                </w:p>
              </w:tc>
            </w:tr>
            <w:tr w:rsidR="009C70BE" w:rsidTr="001762C3">
              <w:tc>
                <w:tcPr>
                  <w:tcW w:w="2268" w:type="dxa"/>
                  <w:shd w:val="clear" w:color="auto" w:fill="auto"/>
                  <w:vAlign w:val="center"/>
                </w:tcPr>
                <w:p w:rsidR="009C70BE" w:rsidRDefault="009C70BE" w:rsidP="006E7D67">
                  <w:pPr>
                    <w:spacing w:beforeLines="40" w:before="96" w:afterLines="40" w:after="96"/>
                    <w:ind w:left="155" w:hanging="220"/>
                  </w:pPr>
                  <w:r>
                    <w:t>H361fd</w:t>
                  </w:r>
                </w:p>
              </w:tc>
              <w:tc>
                <w:tcPr>
                  <w:tcW w:w="4860" w:type="dxa"/>
                  <w:shd w:val="clear" w:color="auto" w:fill="auto"/>
                  <w:vAlign w:val="center"/>
                </w:tcPr>
                <w:p w:rsidR="009C70BE" w:rsidRDefault="009C70BE" w:rsidP="006D11F3">
                  <w:pPr>
                    <w:spacing w:beforeLines="40" w:before="96" w:afterLines="40" w:after="96"/>
                  </w:pPr>
                  <w:r>
                    <w:t>Kann vermutlich die Fruchtbarkeit beeinträchtigen. Kann vermutlich das Kind im Mutterleib schädigen.</w:t>
                  </w:r>
                </w:p>
              </w:tc>
            </w:tr>
          </w:tbl>
          <w:p w:rsidR="00420FE8" w:rsidRPr="00090161" w:rsidRDefault="00420FE8" w:rsidP="006E7D67">
            <w:pPr>
              <w:pStyle w:val="Textkrper"/>
              <w:tabs>
                <w:tab w:val="clear" w:pos="284"/>
                <w:tab w:val="clear" w:pos="851"/>
                <w:tab w:val="left" w:pos="8222"/>
              </w:tabs>
              <w:spacing w:line="240" w:lineRule="auto"/>
              <w:ind w:left="155" w:hanging="220"/>
              <w:jc w:val="left"/>
              <w:rPr>
                <w:rFonts w:ascii="Verdana" w:hAnsi="Verdana"/>
                <w:sz w:val="20"/>
                <w:szCs w:val="20"/>
              </w:rPr>
            </w:pPr>
          </w:p>
        </w:tc>
      </w:tr>
      <w:tr w:rsidR="009C70BE" w:rsidRPr="00090161" w:rsidTr="006E052A">
        <w:tc>
          <w:tcPr>
            <w:tcW w:w="1231" w:type="dxa"/>
            <w:shd w:val="clear" w:color="auto" w:fill="auto"/>
          </w:tcPr>
          <w:p w:rsidR="009C70BE" w:rsidRPr="00090161" w:rsidRDefault="009C70BE" w:rsidP="00420FE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3.5</w:t>
            </w:r>
          </w:p>
        </w:tc>
        <w:tc>
          <w:tcPr>
            <w:tcW w:w="8581" w:type="dxa"/>
            <w:shd w:val="clear" w:color="auto" w:fill="auto"/>
          </w:tcPr>
          <w:p w:rsidR="009C70BE" w:rsidRDefault="009C70BE"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w:t>
            </w:r>
            <w:r w:rsidR="00083395">
              <w:rPr>
                <w:rFonts w:ascii="Verdana" w:hAnsi="Verdana"/>
                <w:sz w:val="20"/>
                <w:szCs w:val="20"/>
              </w:rPr>
              <w:t xml:space="preserve">nur </w:t>
            </w:r>
            <w:proofErr w:type="spellStart"/>
            <w:r w:rsidR="00083395" w:rsidRPr="00090161">
              <w:rPr>
                <w:rFonts w:ascii="Verdana" w:hAnsi="Verdana"/>
                <w:sz w:val="20"/>
                <w:szCs w:val="20"/>
              </w:rPr>
              <w:t>Fabrikationshilfsstoffe</w:t>
            </w:r>
            <w:proofErr w:type="spellEnd"/>
            <w:r w:rsidR="00083395" w:rsidRPr="00090161">
              <w:rPr>
                <w:rFonts w:ascii="Verdana" w:hAnsi="Verdana"/>
                <w:sz w:val="20"/>
                <w:szCs w:val="20"/>
              </w:rPr>
              <w:t>, Papierveredelungsstoffe, Beschichtungsstoffe und Farbmittel verwendet werden, die</w:t>
            </w:r>
            <w:r>
              <w:rPr>
                <w:rFonts w:ascii="Verdana" w:hAnsi="Verdana"/>
                <w:sz w:val="20"/>
                <w:szCs w:val="20"/>
              </w:rPr>
              <w:t xml:space="preserve"> </w:t>
            </w:r>
            <w:r w:rsidRPr="00090161">
              <w:rPr>
                <w:rFonts w:ascii="Verdana" w:hAnsi="Verdana"/>
                <w:sz w:val="20"/>
                <w:szCs w:val="20"/>
              </w:rPr>
              <w:t>in der XXXVI. Empfehlung des BfR</w:t>
            </w:r>
            <w:r>
              <w:rPr>
                <w:rFonts w:ascii="Verdana" w:hAnsi="Verdana"/>
                <w:sz w:val="20"/>
                <w:szCs w:val="20"/>
              </w:rPr>
              <w:t>, in den Abschnitten b (</w:t>
            </w:r>
            <w:proofErr w:type="spellStart"/>
            <w:r>
              <w:rPr>
                <w:rFonts w:ascii="Verdana" w:hAnsi="Verdana"/>
                <w:sz w:val="20"/>
                <w:szCs w:val="20"/>
              </w:rPr>
              <w:t>Fabrikationshilfsstoffe</w:t>
            </w:r>
            <w:proofErr w:type="spellEnd"/>
            <w:r>
              <w:rPr>
                <w:rFonts w:ascii="Verdana" w:hAnsi="Verdana"/>
                <w:sz w:val="20"/>
                <w:szCs w:val="20"/>
              </w:rPr>
              <w:t>) und c (spezielle Papierveredelungsstoffe)</w:t>
            </w:r>
            <w:r w:rsidR="00973F16">
              <w:rPr>
                <w:rFonts w:ascii="Verdana" w:hAnsi="Verdana"/>
                <w:sz w:val="20"/>
                <w:szCs w:val="20"/>
              </w:rPr>
              <w:t xml:space="preserve"> </w:t>
            </w:r>
            <w:r w:rsidRPr="00090161">
              <w:rPr>
                <w:rFonts w:ascii="Verdana" w:hAnsi="Verdana"/>
                <w:sz w:val="20"/>
                <w:szCs w:val="20"/>
              </w:rPr>
              <w:t xml:space="preserve">angeführt sind und </w:t>
            </w:r>
          </w:p>
          <w:p w:rsidR="009C70BE" w:rsidRPr="00090161" w:rsidRDefault="009C70BE"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Pr="00090161">
              <w:rPr>
                <w:rFonts w:ascii="Verdana" w:hAnsi="Verdana"/>
                <w:sz w:val="20"/>
                <w:szCs w:val="20"/>
              </w:rPr>
              <w:t>die dort angegebenen Höchstmengen bzw. –</w:t>
            </w:r>
            <w:proofErr w:type="spellStart"/>
            <w:r w:rsidRPr="00090161">
              <w:rPr>
                <w:rFonts w:ascii="Verdana" w:hAnsi="Verdana"/>
                <w:sz w:val="20"/>
                <w:szCs w:val="20"/>
              </w:rPr>
              <w:t>konzentrationen</w:t>
            </w:r>
            <w:proofErr w:type="spellEnd"/>
            <w:r w:rsidRPr="00090161">
              <w:rPr>
                <w:rFonts w:ascii="Verdana" w:hAnsi="Verdana"/>
                <w:sz w:val="20"/>
                <w:szCs w:val="20"/>
              </w:rPr>
              <w:t xml:space="preserve"> eingehalten werden,</w:t>
            </w:r>
            <w:r w:rsidRPr="00090161">
              <w:rPr>
                <w:rFonts w:ascii="Verdana" w:hAnsi="Verdana"/>
                <w:sz w:val="20"/>
                <w:szCs w:val="20"/>
              </w:rPr>
              <w:br/>
            </w:r>
          </w:p>
          <w:p w:rsidR="009C70BE" w:rsidRDefault="009C70BE" w:rsidP="00420FE8">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xml:space="preserve">- für die Herstellung der Produkte keine Hilfsstoffe eingesetzt werden die </w:t>
            </w:r>
            <w:proofErr w:type="spellStart"/>
            <w:r w:rsidRPr="00090161">
              <w:rPr>
                <w:rFonts w:ascii="Verdana" w:hAnsi="Verdana"/>
                <w:sz w:val="20"/>
                <w:szCs w:val="20"/>
              </w:rPr>
              <w:t>Glyoxal</w:t>
            </w:r>
            <w:proofErr w:type="spellEnd"/>
            <w:r w:rsidRPr="00090161">
              <w:rPr>
                <w:rFonts w:ascii="Verdana" w:hAnsi="Verdana"/>
                <w:sz w:val="20"/>
                <w:szCs w:val="20"/>
              </w:rPr>
              <w:t xml:space="preserve"> enthalten,</w:t>
            </w:r>
          </w:p>
          <w:p w:rsidR="009C70BE" w:rsidRPr="00090161" w:rsidRDefault="009C70BE" w:rsidP="00420FE8">
            <w:pPr>
              <w:pStyle w:val="Textkrper"/>
              <w:tabs>
                <w:tab w:val="left" w:pos="8222"/>
              </w:tabs>
              <w:spacing w:line="240" w:lineRule="auto"/>
              <w:ind w:left="155" w:hanging="155"/>
              <w:jc w:val="left"/>
              <w:rPr>
                <w:rFonts w:ascii="Verdana" w:hAnsi="Verdana"/>
                <w:sz w:val="20"/>
                <w:szCs w:val="20"/>
              </w:rPr>
            </w:pPr>
          </w:p>
        </w:tc>
      </w:tr>
      <w:tr w:rsidR="00564AF4" w:rsidRPr="00090161" w:rsidTr="006E052A">
        <w:tc>
          <w:tcPr>
            <w:tcW w:w="1231" w:type="dxa"/>
            <w:shd w:val="clear" w:color="auto" w:fill="auto"/>
          </w:tcPr>
          <w:p w:rsidR="00564AF4"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3.6</w:t>
            </w:r>
          </w:p>
        </w:tc>
        <w:tc>
          <w:tcPr>
            <w:tcW w:w="8581" w:type="dxa"/>
            <w:shd w:val="clear" w:color="auto" w:fill="auto"/>
          </w:tcPr>
          <w:p w:rsidR="00564AF4" w:rsidRDefault="00564AF4"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Pr="00090161">
              <w:rPr>
                <w:rFonts w:ascii="Verdana" w:hAnsi="Verdana"/>
                <w:sz w:val="20"/>
                <w:szCs w:val="20"/>
              </w:rPr>
              <w:t xml:space="preserve">bei der Aufbereitung von Altpapieren auf die Verwendung von Chlor, halogenierten Bleichchemikalien und biologisch schwer abbaubare Komplexbildner, z.B. Ethylendiamintetraessigsäure (EDTA) und </w:t>
            </w:r>
            <w:proofErr w:type="spellStart"/>
            <w:r w:rsidRPr="00090161">
              <w:rPr>
                <w:rFonts w:ascii="Verdana" w:hAnsi="Verdana"/>
                <w:sz w:val="20"/>
                <w:szCs w:val="20"/>
              </w:rPr>
              <w:t>Diethylenpentacetat</w:t>
            </w:r>
            <w:proofErr w:type="spellEnd"/>
            <w:r w:rsidRPr="00090161">
              <w:rPr>
                <w:rFonts w:ascii="Verdana" w:hAnsi="Verdana"/>
                <w:sz w:val="20"/>
                <w:szCs w:val="20"/>
              </w:rPr>
              <w:t xml:space="preserve"> (DTPA) </w:t>
            </w:r>
            <w:r>
              <w:rPr>
                <w:rFonts w:ascii="Verdana" w:hAnsi="Verdana"/>
                <w:sz w:val="20"/>
                <w:szCs w:val="20"/>
              </w:rPr>
              <w:t xml:space="preserve">vollständig </w:t>
            </w:r>
            <w:r w:rsidRPr="00090161">
              <w:rPr>
                <w:rFonts w:ascii="Verdana" w:hAnsi="Verdana"/>
                <w:sz w:val="20"/>
                <w:szCs w:val="20"/>
              </w:rPr>
              <w:t>verzichtet wird,</w:t>
            </w:r>
          </w:p>
          <w:p w:rsidR="00564AF4" w:rsidRDefault="00564AF4" w:rsidP="009C70BE">
            <w:pPr>
              <w:pStyle w:val="Textkrper"/>
              <w:tabs>
                <w:tab w:val="left" w:pos="8222"/>
              </w:tabs>
              <w:spacing w:line="240" w:lineRule="auto"/>
              <w:ind w:left="155" w:hanging="155"/>
              <w:jc w:val="left"/>
              <w:rPr>
                <w:rFonts w:ascii="Verdana" w:hAnsi="Verdana"/>
                <w:sz w:val="20"/>
                <w:szCs w:val="20"/>
              </w:rPr>
            </w:pPr>
          </w:p>
        </w:tc>
      </w:tr>
      <w:tr w:rsidR="00564AF4" w:rsidRPr="00090161" w:rsidTr="006E052A">
        <w:tc>
          <w:tcPr>
            <w:tcW w:w="1231" w:type="dxa"/>
            <w:shd w:val="clear" w:color="auto" w:fill="auto"/>
          </w:tcPr>
          <w:p w:rsidR="00564AF4"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3.7</w:t>
            </w:r>
          </w:p>
        </w:tc>
        <w:tc>
          <w:tcPr>
            <w:tcW w:w="8581" w:type="dxa"/>
            <w:shd w:val="clear" w:color="auto" w:fill="auto"/>
          </w:tcPr>
          <w:p w:rsidR="00564AF4" w:rsidRDefault="00564AF4" w:rsidP="00564AF4">
            <w:r>
              <w:t xml:space="preserve">- </w:t>
            </w:r>
            <w:r w:rsidR="006B237C">
              <w:t>b</w:t>
            </w:r>
            <w:r>
              <w:t xml:space="preserve">ei der Herstellung der Recyclingpapiere nur Schleimverhinderungsmittel (Wirkstoffe der Produktart 12) und Materialschutzmittel für Fasern (Wirkstoffe der Produktart 9) nach </w:t>
            </w:r>
            <w:proofErr w:type="spellStart"/>
            <w:r>
              <w:t>Biozidprodukte</w:t>
            </w:r>
            <w:proofErr w:type="spellEnd"/>
            <w:r>
              <w:t xml:space="preserve">-Verordnung eingesetzt werden, die gemäß </w:t>
            </w:r>
            <w:proofErr w:type="spellStart"/>
            <w:r>
              <w:t>BiozidVO</w:t>
            </w:r>
            <w:proofErr w:type="spellEnd"/>
            <w:r>
              <w:t xml:space="preserve"> 528/2012 genehmigt wurden (EU-Liste der genehmigten Wirkstoffe) oder als notifizierte Alt-Wirkstoffe für die jeweilig zutreffende Biozid-Produktart noch im EU-Altwirkstoffprogramm geprüft werden</w:t>
            </w:r>
            <w:r w:rsidR="001C00B0">
              <w:t>,</w:t>
            </w:r>
            <w:r>
              <w:t xml:space="preserve"> </w:t>
            </w:r>
          </w:p>
          <w:p w:rsidR="00564AF4" w:rsidRDefault="00564AF4" w:rsidP="00564AF4">
            <w:pPr>
              <w:rPr>
                <w:color w:val="auto"/>
              </w:rPr>
            </w:pPr>
          </w:p>
          <w:p w:rsidR="00564AF4" w:rsidRDefault="00564AF4" w:rsidP="00564AF4">
            <w:r>
              <w:t>-</w:t>
            </w:r>
            <w:r w:rsidR="006B237C">
              <w:t>e</w:t>
            </w:r>
            <w:r>
              <w:t xml:space="preserve">ntsprechend nur solche </w:t>
            </w:r>
            <w:proofErr w:type="spellStart"/>
            <w:r>
              <w:t>Biozidprodukte</w:t>
            </w:r>
            <w:proofErr w:type="spellEnd"/>
            <w:r>
              <w:t xml:space="preserve"> verwendet werden, die für Produktarten 9 und 12 und explizit für die gewünschte Verwendung zugelassen wurden</w:t>
            </w:r>
            <w:r w:rsidR="001C00B0">
              <w:t>,</w:t>
            </w:r>
            <w:r>
              <w:t xml:space="preserve"> </w:t>
            </w:r>
          </w:p>
          <w:p w:rsidR="00564AF4" w:rsidRDefault="00564AF4" w:rsidP="00564AF4">
            <w:r>
              <w:t xml:space="preserve">-Übergangsweise auch  </w:t>
            </w:r>
            <w:proofErr w:type="spellStart"/>
            <w:r>
              <w:t>Biozidprodukte</w:t>
            </w:r>
            <w:proofErr w:type="spellEnd"/>
            <w:r>
              <w:t xml:space="preserve"> verwendet werden, die notifizierte Alt-Wirkstoffe der Produktarten 9 und 12 enthalten, die noch im EU-Prüfverfahren sind, bis zur Genehmigungsentscheidung auch ohne Zulassung weiterverwendet werden, wenn sie gemäß Verordnung über die Meldung von </w:t>
            </w:r>
            <w:proofErr w:type="spellStart"/>
            <w:r>
              <w:t>Biozidprodukten</w:t>
            </w:r>
            <w:proofErr w:type="spellEnd"/>
            <w:r>
              <w:t xml:space="preserve"> nach dem Chemikaliengesetz (</w:t>
            </w:r>
            <w:proofErr w:type="spellStart"/>
            <w:r>
              <w:t>ChemBiozidMeldeV</w:t>
            </w:r>
            <w:proofErr w:type="spellEnd"/>
            <w:r>
              <w:t>) gemeldet wurden</w:t>
            </w:r>
            <w:r w:rsidR="001C00B0">
              <w:t>,</w:t>
            </w:r>
            <w:r>
              <w:br/>
              <w:t xml:space="preserve"> </w:t>
            </w:r>
          </w:p>
          <w:p w:rsidR="00564AF4" w:rsidRDefault="00564AF4" w:rsidP="00564AF4">
            <w:r>
              <w:t>-</w:t>
            </w:r>
            <w:r w:rsidR="006B237C">
              <w:t>d</w:t>
            </w:r>
            <w:r>
              <w:t xml:space="preserve">arüber hinaus die verwendeten Biozid-Produkte keine Wirkstoffe enthalten, die nach Art. 10 der </w:t>
            </w:r>
            <w:proofErr w:type="spellStart"/>
            <w:r>
              <w:t>BiozidVO</w:t>
            </w:r>
            <w:proofErr w:type="spellEnd"/>
            <w:r>
              <w:t xml:space="preserve"> 528/2012 zur Substitution vorgesehen sind</w:t>
            </w:r>
            <w:r w:rsidR="001C00B0">
              <w:t>,</w:t>
            </w:r>
            <w:r>
              <w:br/>
            </w:r>
          </w:p>
          <w:p w:rsidR="00564AF4" w:rsidRDefault="001C00B0" w:rsidP="00564AF4">
            <w:r>
              <w:t xml:space="preserve">- </w:t>
            </w:r>
            <w:r w:rsidR="006B237C">
              <w:t>b</w:t>
            </w:r>
            <w:r w:rsidR="00564AF4">
              <w:t xml:space="preserve">is zum jeweiligen Wirksamwerden der Zulassungspflicht für </w:t>
            </w:r>
            <w:proofErr w:type="spellStart"/>
            <w:r w:rsidR="00564AF4">
              <w:t>Biozidprodukte</w:t>
            </w:r>
            <w:proofErr w:type="spellEnd"/>
            <w:r w:rsidR="00564AF4">
              <w:t xml:space="preserve"> mit notifizierten Alt-Wirkstoffen, die noch im EU-Prüfverfahren sind, nur die Stoffe erlaubt</w:t>
            </w:r>
            <w:r>
              <w:t xml:space="preserve"> sind</w:t>
            </w:r>
            <w:r w:rsidR="00564AF4">
              <w:t>, die zusätzlich in der XXXVI. Empfehlung des BfR aufgeführt sind</w:t>
            </w:r>
          </w:p>
          <w:p w:rsidR="00564AF4" w:rsidRDefault="001C00B0" w:rsidP="006E052A">
            <w:r>
              <w:t>(</w:t>
            </w:r>
            <w:r w:rsidR="00564AF4">
              <w:t xml:space="preserve">Gegebenenfalls </w:t>
            </w:r>
            <w:proofErr w:type="spellStart"/>
            <w:r w:rsidR="00564AF4">
              <w:t>Fabrikationshilfsstoffe</w:t>
            </w:r>
            <w:proofErr w:type="spellEnd"/>
            <w:r w:rsidR="00564AF4">
              <w:t xml:space="preserve"> und Papierveredelungsstoffe, die bei der Herstellung der Recyclingpapiere eingesetzt werden, verkehrsfähige </w:t>
            </w:r>
            <w:proofErr w:type="spellStart"/>
            <w:r w:rsidR="00564AF4">
              <w:t>Biozidprodukte</w:t>
            </w:r>
            <w:proofErr w:type="spellEnd"/>
            <w:r w:rsidR="00564AF4">
              <w:t xml:space="preserve"> der Produktart 6 (Schutz von Fertigerzeugnissen in Behältern gegen mikrobielle Schädigung zwecks Verlängerung ihrer Haltbarkeit) enthalten. Restgehalte dieser </w:t>
            </w:r>
            <w:proofErr w:type="spellStart"/>
            <w:r w:rsidR="00564AF4">
              <w:t>Biozidprodukte</w:t>
            </w:r>
            <w:proofErr w:type="spellEnd"/>
            <w:r w:rsidR="00564AF4">
              <w:t xml:space="preserve"> werden akzeptiert</w:t>
            </w:r>
            <w:r w:rsidR="00B72D6C">
              <w:t>)</w:t>
            </w:r>
            <w:r>
              <w:t>,</w:t>
            </w:r>
          </w:p>
          <w:p w:rsidR="00564AF4" w:rsidRDefault="00564AF4" w:rsidP="009C70BE">
            <w:pPr>
              <w:pStyle w:val="Textkrper"/>
              <w:tabs>
                <w:tab w:val="left" w:pos="8222"/>
              </w:tabs>
              <w:spacing w:line="240" w:lineRule="auto"/>
              <w:ind w:left="155" w:hanging="155"/>
              <w:jc w:val="left"/>
              <w:rPr>
                <w:rFonts w:ascii="Verdana" w:hAnsi="Verdana"/>
                <w:sz w:val="20"/>
                <w:szCs w:val="20"/>
              </w:rPr>
            </w:pPr>
          </w:p>
        </w:tc>
      </w:tr>
      <w:tr w:rsidR="00B72D6C" w:rsidRPr="00090161" w:rsidTr="006E052A">
        <w:tc>
          <w:tcPr>
            <w:tcW w:w="1231" w:type="dxa"/>
            <w:shd w:val="clear" w:color="auto" w:fill="auto"/>
          </w:tcPr>
          <w:p w:rsidR="00B72D6C" w:rsidRPr="00090161" w:rsidRDefault="00B72D6C"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3.8</w:t>
            </w:r>
          </w:p>
        </w:tc>
        <w:tc>
          <w:tcPr>
            <w:tcW w:w="8581" w:type="dxa"/>
            <w:shd w:val="clear" w:color="auto" w:fill="auto"/>
          </w:tcPr>
          <w:p w:rsidR="00B72D6C" w:rsidRDefault="00B72D6C"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das Produkt eine maximalen </w:t>
            </w:r>
            <w:proofErr w:type="spellStart"/>
            <w:r>
              <w:rPr>
                <w:rFonts w:ascii="Verdana" w:hAnsi="Verdana"/>
                <w:sz w:val="20"/>
                <w:szCs w:val="20"/>
              </w:rPr>
              <w:t>Weißegrad</w:t>
            </w:r>
            <w:proofErr w:type="spellEnd"/>
            <w:r>
              <w:rPr>
                <w:rFonts w:ascii="Verdana" w:hAnsi="Verdana"/>
                <w:sz w:val="20"/>
                <w:szCs w:val="20"/>
              </w:rPr>
              <w:t xml:space="preserve"> von 100% nach ISO 2470 und eine maximale Weiße von 135 nach DIN ISO 11475 nicht überschreitet,</w:t>
            </w:r>
          </w:p>
          <w:p w:rsidR="00B72D6C" w:rsidRPr="00090161" w:rsidRDefault="00B72D6C" w:rsidP="00420FE8">
            <w:pPr>
              <w:pStyle w:val="Textkrper"/>
              <w:tabs>
                <w:tab w:val="left" w:pos="8222"/>
              </w:tabs>
              <w:spacing w:line="240" w:lineRule="auto"/>
              <w:ind w:left="155" w:hanging="155"/>
              <w:jc w:val="left"/>
              <w:rPr>
                <w:rFonts w:ascii="Verdana" w:hAnsi="Verdana"/>
                <w:sz w:val="20"/>
                <w:szCs w:val="20"/>
              </w:rPr>
            </w:pPr>
          </w:p>
        </w:tc>
      </w:tr>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w:t>
            </w:r>
            <w:r w:rsidR="00564AF4">
              <w:rPr>
                <w:rFonts w:ascii="Verdana" w:hAnsi="Verdana"/>
                <w:b/>
                <w:sz w:val="20"/>
                <w:szCs w:val="20"/>
              </w:rPr>
              <w:t>9</w:t>
            </w:r>
          </w:p>
        </w:tc>
        <w:tc>
          <w:tcPr>
            <w:tcW w:w="8581" w:type="dxa"/>
            <w:shd w:val="clear" w:color="auto" w:fill="auto"/>
          </w:tcPr>
          <w:p w:rsidR="00420FE8" w:rsidRDefault="00420FE8" w:rsidP="00420FE8">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xml:space="preserve">- optische Aufheller nicht eingesetzt werden, </w:t>
            </w:r>
            <w:r w:rsidR="00564AF4">
              <w:rPr>
                <w:rFonts w:ascii="Verdana" w:hAnsi="Verdana"/>
                <w:sz w:val="20"/>
                <w:szCs w:val="20"/>
              </w:rPr>
              <w:br/>
            </w:r>
          </w:p>
          <w:p w:rsidR="004676F9" w:rsidRDefault="004676F9" w:rsidP="00420FE8">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lastRenderedPageBreak/>
              <w:t>- abweichend davon bei der Herstellung von SC-Papiere mit einem</w:t>
            </w:r>
            <w:r w:rsidR="00564AF4">
              <w:rPr>
                <w:rFonts w:ascii="Verdana" w:hAnsi="Verdana"/>
                <w:sz w:val="20"/>
                <w:szCs w:val="20"/>
              </w:rPr>
              <w:t xml:space="preserve"> G</w:t>
            </w:r>
            <w:r>
              <w:rPr>
                <w:rFonts w:ascii="Verdana" w:hAnsi="Verdana"/>
                <w:sz w:val="20"/>
                <w:szCs w:val="20"/>
              </w:rPr>
              <w:t>ewicht größer als 110 g/m2 und HWC-Papiere mit einem Gewicht größer als 75 g/m</w:t>
            </w:r>
            <w:r w:rsidRPr="00FE43BC">
              <w:rPr>
                <w:rFonts w:ascii="Verdana" w:hAnsi="Verdana"/>
                <w:sz w:val="20"/>
                <w:szCs w:val="20"/>
                <w:vertAlign w:val="superscript"/>
              </w:rPr>
              <w:t>2</w:t>
            </w:r>
            <w:r w:rsidR="00564AF4">
              <w:rPr>
                <w:rFonts w:ascii="Verdana" w:hAnsi="Verdana"/>
                <w:sz w:val="20"/>
                <w:szCs w:val="20"/>
              </w:rPr>
              <w:t xml:space="preserve"> optische Aufheller zugegeben werden</w:t>
            </w:r>
            <w:r w:rsidR="00B72D6C">
              <w:rPr>
                <w:rFonts w:ascii="Verdana" w:hAnsi="Verdana"/>
                <w:sz w:val="20"/>
                <w:szCs w:val="20"/>
              </w:rPr>
              <w:t xml:space="preserve"> (können)</w:t>
            </w:r>
            <w:r w:rsidR="00564AF4">
              <w:rPr>
                <w:rFonts w:ascii="Verdana" w:hAnsi="Verdana"/>
                <w:sz w:val="20"/>
                <w:szCs w:val="20"/>
              </w:rPr>
              <w:t>.</w:t>
            </w:r>
          </w:p>
          <w:p w:rsidR="00564AF4" w:rsidRPr="00090161" w:rsidRDefault="00564AF4" w:rsidP="00420FE8">
            <w:pPr>
              <w:pStyle w:val="Textkrper"/>
              <w:tabs>
                <w:tab w:val="left" w:pos="8222"/>
              </w:tabs>
              <w:spacing w:line="240" w:lineRule="auto"/>
              <w:ind w:left="155" w:hanging="155"/>
              <w:jc w:val="left"/>
              <w:rPr>
                <w:rFonts w:ascii="Verdana" w:hAnsi="Verdana"/>
                <w:sz w:val="20"/>
                <w:szCs w:val="20"/>
              </w:rPr>
            </w:pPr>
          </w:p>
        </w:tc>
      </w:tr>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lastRenderedPageBreak/>
              <w:t>3.10</w:t>
            </w:r>
          </w:p>
        </w:tc>
        <w:tc>
          <w:tcPr>
            <w:tcW w:w="8581" w:type="dxa"/>
            <w:shd w:val="clear" w:color="auto" w:fill="auto"/>
          </w:tcPr>
          <w:p w:rsidR="00CE6992" w:rsidRPr="00CE6992" w:rsidRDefault="00420FE8" w:rsidP="00420FE8">
            <w:pPr>
              <w:pStyle w:val="Textkrper"/>
              <w:tabs>
                <w:tab w:val="left" w:pos="8222"/>
              </w:tabs>
              <w:spacing w:line="240" w:lineRule="auto"/>
              <w:ind w:left="155" w:hanging="155"/>
              <w:jc w:val="left"/>
              <w:rPr>
                <w:rFonts w:ascii="Verdana" w:hAnsi="Verdana"/>
                <w:sz w:val="20"/>
                <w:szCs w:val="20"/>
              </w:rPr>
            </w:pPr>
            <w:r w:rsidRPr="00CE6992">
              <w:rPr>
                <w:rFonts w:ascii="Verdana" w:hAnsi="Verdana"/>
                <w:sz w:val="20"/>
                <w:szCs w:val="20"/>
              </w:rPr>
              <w:t xml:space="preserve">- </w:t>
            </w:r>
            <w:r w:rsidR="006B237C">
              <w:rPr>
                <w:rFonts w:ascii="Verdana" w:hAnsi="Verdana"/>
                <w:sz w:val="20"/>
                <w:szCs w:val="20"/>
              </w:rPr>
              <w:t>a</w:t>
            </w:r>
            <w:r w:rsidR="00CE6992" w:rsidRPr="00CE6992">
              <w:rPr>
                <w:rFonts w:ascii="Verdana" w:hAnsi="Verdana"/>
                <w:sz w:val="20"/>
                <w:szCs w:val="20"/>
              </w:rPr>
              <w:t>ls Farbmittel keine Amine</w:t>
            </w:r>
            <w:r w:rsidR="006B237C">
              <w:rPr>
                <w:rFonts w:ascii="Verdana" w:hAnsi="Verdana"/>
                <w:sz w:val="20"/>
                <w:szCs w:val="20"/>
              </w:rPr>
              <w:t>-</w:t>
            </w:r>
            <w:r w:rsidR="00CE6992" w:rsidRPr="00CE6992">
              <w:rPr>
                <w:rFonts w:ascii="Verdana" w:hAnsi="Verdana"/>
                <w:sz w:val="20"/>
                <w:szCs w:val="20"/>
              </w:rPr>
              <w:t>abspaltenden Azofarbstoffe oder Pigmente eingesetzt werden, die eines der in der Verordnung (EG) Nr. 1907/2006 Anhang XVII, Nr. 43, Anlage 8 und 9 oder in der TRGS 614</w:t>
            </w:r>
            <w:r w:rsidR="00CE6992" w:rsidRPr="00CE6992">
              <w:rPr>
                <w:rStyle w:val="Funotenzeichen"/>
                <w:rFonts w:ascii="Verdana" w:hAnsi="Verdana"/>
                <w:sz w:val="20"/>
                <w:szCs w:val="20"/>
              </w:rPr>
              <w:footnoteReference w:id="2"/>
            </w:r>
            <w:r w:rsidR="00CE6992" w:rsidRPr="00CE6992">
              <w:rPr>
                <w:rFonts w:ascii="Verdana" w:hAnsi="Verdana"/>
                <w:sz w:val="20"/>
                <w:szCs w:val="20"/>
              </w:rPr>
              <w:t xml:space="preserve"> genannten Amine abspalten können</w:t>
            </w:r>
            <w:r w:rsidR="00CE6992">
              <w:rPr>
                <w:rFonts w:ascii="Verdana" w:hAnsi="Verdana"/>
                <w:sz w:val="20"/>
                <w:szCs w:val="20"/>
              </w:rPr>
              <w:t>,</w:t>
            </w:r>
          </w:p>
          <w:p w:rsidR="00CE6992" w:rsidRPr="00CE6992"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3.11</w:t>
            </w:r>
          </w:p>
        </w:tc>
        <w:tc>
          <w:tcPr>
            <w:tcW w:w="8581" w:type="dxa"/>
            <w:shd w:val="clear" w:color="auto" w:fill="auto"/>
          </w:tcPr>
          <w:p w:rsidR="00CE6992" w:rsidRPr="00021A9C" w:rsidRDefault="00CE6992" w:rsidP="00CE6992">
            <w:r>
              <w:t>-</w:t>
            </w:r>
            <w:r w:rsidRPr="00021A9C">
              <w:t xml:space="preserve"> keine Farbmittel (Pigmente oder Farbstoffe) eingesetzt werden, die Quecksilber-, Blei-, Cadmium- oder Chrom VI-Verbindungen als konstitutionelle Bestandteile enthalten</w:t>
            </w:r>
            <w:r>
              <w:t>,</w:t>
            </w:r>
          </w:p>
          <w:p w:rsidR="00CE6992" w:rsidRPr="00090161" w:rsidRDefault="00CE6992" w:rsidP="00420FE8">
            <w:pPr>
              <w:pStyle w:val="Textkrper"/>
              <w:tabs>
                <w:tab w:val="left" w:pos="8222"/>
              </w:tabs>
              <w:spacing w:line="240" w:lineRule="auto"/>
              <w:ind w:left="155" w:hanging="155"/>
              <w:jc w:val="left"/>
              <w:rPr>
                <w:rFonts w:ascii="Verdana" w:hAnsi="Verdana"/>
                <w:sz w:val="20"/>
                <w:szCs w:val="20"/>
              </w:rPr>
            </w:pPr>
          </w:p>
        </w:tc>
      </w:tr>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3.12</w:t>
            </w:r>
          </w:p>
        </w:tc>
        <w:tc>
          <w:tcPr>
            <w:tcW w:w="8581" w:type="dxa"/>
            <w:shd w:val="clear" w:color="auto" w:fill="auto"/>
          </w:tcPr>
          <w:p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keine mineralölhaltigen Additive eingesetzt werden, die aromatische Kohlenwasserstoffe (mit einer Kohlenstoffatomanzahl ≥ 10) als Bestandteile enthalten</w:t>
            </w:r>
            <w:r w:rsidR="00A478C5">
              <w:rPr>
                <w:rFonts w:ascii="Verdana" w:hAnsi="Verdana"/>
                <w:sz w:val="20"/>
                <w:szCs w:val="20"/>
              </w:rPr>
              <w:t>,</w:t>
            </w:r>
            <w:r w:rsidRPr="00090161">
              <w:rPr>
                <w:rFonts w:ascii="Verdana" w:hAnsi="Verdana"/>
                <w:sz w:val="20"/>
                <w:szCs w:val="20"/>
              </w:rPr>
              <w:t xml:space="preserve"> </w:t>
            </w:r>
          </w:p>
          <w:p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von den aliphatischen Kohlenwasserstoffen nur Stoffe der Kettenlänge C10 bis C20 eingesetzt werden</w:t>
            </w:r>
            <w:r w:rsidR="00A478C5">
              <w:rPr>
                <w:rFonts w:ascii="Verdana" w:hAnsi="Verdana"/>
                <w:sz w:val="20"/>
                <w:szCs w:val="20"/>
              </w:rPr>
              <w:t>,</w:t>
            </w:r>
            <w:r w:rsidRPr="00090161">
              <w:rPr>
                <w:rFonts w:ascii="Verdana" w:hAnsi="Verdana"/>
                <w:sz w:val="20"/>
                <w:szCs w:val="20"/>
              </w:rPr>
              <w:t xml:space="preserve"> </w:t>
            </w:r>
          </w:p>
          <w:p w:rsidR="00420FE8" w:rsidRPr="00090161" w:rsidRDefault="00420FE8" w:rsidP="00420FE8">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dass pflanzlich basierte Substitute für Mineralöl gentechnikfrei sein sollten und aus nachhaltigem Anbau stammen sollten</w:t>
            </w:r>
            <w:r w:rsidR="00A478C5">
              <w:rPr>
                <w:rFonts w:ascii="Verdana" w:hAnsi="Verdana"/>
                <w:sz w:val="20"/>
                <w:szCs w:val="20"/>
              </w:rPr>
              <w:t>,</w:t>
            </w:r>
            <w:r w:rsidRPr="00090161">
              <w:rPr>
                <w:rFonts w:ascii="Verdana" w:hAnsi="Verdana"/>
                <w:sz w:val="20"/>
                <w:szCs w:val="20"/>
              </w:rPr>
              <w:t xml:space="preserve"> </w:t>
            </w:r>
            <w:r w:rsidR="00A478C5">
              <w:rPr>
                <w:rFonts w:ascii="Verdana" w:hAnsi="Verdana"/>
                <w:sz w:val="20"/>
                <w:szCs w:val="20"/>
              </w:rPr>
              <w:br/>
            </w:r>
          </w:p>
        </w:tc>
      </w:tr>
      <w:tr w:rsidR="00A478C5" w:rsidRPr="00090161" w:rsidTr="006E052A">
        <w:tc>
          <w:tcPr>
            <w:tcW w:w="1231" w:type="dxa"/>
            <w:shd w:val="clear" w:color="auto" w:fill="auto"/>
          </w:tcPr>
          <w:p w:rsidR="00A478C5" w:rsidRPr="00090161" w:rsidRDefault="00A478C5"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EB14CE">
              <w:rPr>
                <w:rFonts w:ascii="Verdana" w:hAnsi="Verdana"/>
                <w:b/>
                <w:sz w:val="20"/>
                <w:szCs w:val="20"/>
              </w:rPr>
              <w:t xml:space="preserve"> 1</w:t>
            </w:r>
            <w:r w:rsidR="006D11F3">
              <w:rPr>
                <w:rFonts w:ascii="Verdana" w:hAnsi="Verdana"/>
                <w:b/>
                <w:sz w:val="20"/>
                <w:szCs w:val="20"/>
              </w:rPr>
              <w:t>3</w:t>
            </w:r>
          </w:p>
        </w:tc>
        <w:tc>
          <w:tcPr>
            <w:tcW w:w="8581" w:type="dxa"/>
            <w:shd w:val="clear" w:color="auto" w:fill="auto"/>
          </w:tcPr>
          <w:p w:rsidR="00A478C5" w:rsidRPr="00AB33A7" w:rsidRDefault="00EB14CE" w:rsidP="00420FE8">
            <w:pPr>
              <w:pStyle w:val="Textkrper"/>
              <w:tabs>
                <w:tab w:val="left" w:pos="8222"/>
              </w:tabs>
              <w:spacing w:line="240" w:lineRule="auto"/>
              <w:ind w:left="155" w:hanging="155"/>
              <w:jc w:val="left"/>
              <w:rPr>
                <w:rFonts w:ascii="Verdana" w:hAnsi="Verdana"/>
                <w:sz w:val="20"/>
                <w:szCs w:val="20"/>
              </w:rPr>
            </w:pPr>
            <w:r w:rsidRPr="00AB33A7">
              <w:rPr>
                <w:rFonts w:ascii="Verdana" w:hAnsi="Verdana"/>
                <w:sz w:val="20"/>
                <w:szCs w:val="20"/>
              </w:rPr>
              <w:t xml:space="preserve">- als </w:t>
            </w:r>
            <w:r w:rsidRPr="00AB33A7">
              <w:rPr>
                <w:rFonts w:ascii="Verdana" w:hAnsi="Verdana"/>
                <w:b/>
                <w:sz w:val="20"/>
                <w:szCs w:val="20"/>
              </w:rPr>
              <w:t xml:space="preserve">Direkteinleiter </w:t>
            </w:r>
            <w:r w:rsidRPr="00AB33A7">
              <w:rPr>
                <w:rFonts w:ascii="Verdana" w:hAnsi="Verdana"/>
                <w:sz w:val="20"/>
                <w:szCs w:val="20"/>
              </w:rPr>
              <w:t>die Emissionswerte gemäß nachfolgender Tabelle 3-1</w:t>
            </w:r>
          </w:p>
          <w:tbl>
            <w:tblPr>
              <w:tblStyle w:val="Tabellenraster"/>
              <w:tblW w:w="0" w:type="auto"/>
              <w:tblInd w:w="155" w:type="dxa"/>
              <w:tblLook w:val="04A0" w:firstRow="1" w:lastRow="0" w:firstColumn="1" w:lastColumn="0" w:noHBand="0" w:noVBand="1"/>
            </w:tblPr>
            <w:tblGrid>
              <w:gridCol w:w="8200"/>
            </w:tblGrid>
            <w:tr w:rsidR="00EB14CE" w:rsidRPr="00AB33A7" w:rsidTr="00EB14CE">
              <w:trPr>
                <w:trHeight w:val="2822"/>
              </w:trPr>
              <w:tc>
                <w:tcPr>
                  <w:tcW w:w="6450" w:type="dxa"/>
                </w:tcPr>
                <w:p w:rsidR="00EB14CE" w:rsidRPr="00AB33A7" w:rsidRDefault="00EB14CE" w:rsidP="00420FE8">
                  <w:pPr>
                    <w:pStyle w:val="Textkrper"/>
                    <w:tabs>
                      <w:tab w:val="left" w:pos="8222"/>
                    </w:tabs>
                    <w:spacing w:line="240" w:lineRule="auto"/>
                    <w:jc w:val="left"/>
                    <w:rPr>
                      <w:rFonts w:ascii="Verdana" w:hAnsi="Verdana"/>
                      <w:sz w:val="20"/>
                      <w:szCs w:val="20"/>
                    </w:rPr>
                  </w:pPr>
                </w:p>
                <w:p w:rsidR="00EB14CE" w:rsidRPr="00AB33A7" w:rsidRDefault="00EB14CE" w:rsidP="00420FE8">
                  <w:pPr>
                    <w:pStyle w:val="Textkrper"/>
                    <w:tabs>
                      <w:tab w:val="left" w:pos="8222"/>
                    </w:tabs>
                    <w:spacing w:line="240" w:lineRule="auto"/>
                    <w:jc w:val="left"/>
                    <w:rPr>
                      <w:rFonts w:ascii="Verdana" w:hAnsi="Verdana"/>
                      <w:sz w:val="20"/>
                      <w:szCs w:val="20"/>
                    </w:rPr>
                  </w:pPr>
                  <w:r w:rsidRPr="00AB33A7">
                    <w:rPr>
                      <w:rFonts w:ascii="Verdana" w:hAnsi="Verdana"/>
                      <w:sz w:val="20"/>
                      <w:szCs w:val="20"/>
                    </w:rPr>
                    <w:t xml:space="preserve">Tabelle </w:t>
                  </w:r>
                  <w:r w:rsidR="009500C1">
                    <w:rPr>
                      <w:rFonts w:ascii="Verdana" w:hAnsi="Verdana"/>
                      <w:sz w:val="20"/>
                      <w:szCs w:val="20"/>
                    </w:rPr>
                    <w:t>2:</w:t>
                  </w:r>
                </w:p>
                <w:tbl>
                  <w:tblPr>
                    <w:tblW w:w="7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6"/>
                    <w:gridCol w:w="4658"/>
                  </w:tblGrid>
                  <w:tr w:rsidR="00EB14CE" w:rsidRPr="00AB33A7" w:rsidTr="00EB14CE">
                    <w:tc>
                      <w:tcPr>
                        <w:tcW w:w="3316" w:type="dxa"/>
                      </w:tcPr>
                      <w:p w:rsidR="00EB14CE" w:rsidRPr="00AB33A7" w:rsidRDefault="00EB14CE" w:rsidP="00EB14CE">
                        <w:r w:rsidRPr="00AB33A7">
                          <w:t>Parameter</w:t>
                        </w:r>
                      </w:p>
                    </w:tc>
                    <w:tc>
                      <w:tcPr>
                        <w:tcW w:w="4658" w:type="dxa"/>
                      </w:tcPr>
                      <w:p w:rsidR="00EB14CE" w:rsidRPr="00AB33A7" w:rsidRDefault="00EB14CE" w:rsidP="00EB14CE">
                        <w:r w:rsidRPr="00AB33A7">
                          <w:t>Unterer Referenzwert nach BREF und Anhang 28 Abwasserverordnung</w:t>
                        </w:r>
                        <w:bookmarkStart w:id="4" w:name="_Ref29916887"/>
                        <w:r w:rsidRPr="00AB33A7">
                          <w:rPr>
                            <w:rStyle w:val="Funotenzeichen"/>
                          </w:rPr>
                          <w:footnoteReference w:id="3"/>
                        </w:r>
                        <w:bookmarkEnd w:id="4"/>
                      </w:p>
                    </w:tc>
                  </w:tr>
                  <w:tr w:rsidR="00EB14CE" w:rsidRPr="00AB33A7" w:rsidTr="00EB14CE">
                    <w:tc>
                      <w:tcPr>
                        <w:tcW w:w="3316" w:type="dxa"/>
                      </w:tcPr>
                      <w:p w:rsidR="00EB14CE" w:rsidRPr="00AB33A7" w:rsidRDefault="00EB14CE" w:rsidP="00EB14CE">
                        <w:pPr>
                          <w:rPr>
                            <w:b/>
                          </w:rPr>
                        </w:pPr>
                        <w:r w:rsidRPr="00AB33A7">
                          <w:rPr>
                            <w:b/>
                          </w:rPr>
                          <w:t>Abwasser-Volumenstrom</w:t>
                        </w:r>
                      </w:p>
                    </w:tc>
                    <w:tc>
                      <w:tcPr>
                        <w:tcW w:w="4658" w:type="dxa"/>
                      </w:tcPr>
                      <w:p w:rsidR="00EB14CE" w:rsidRPr="00AB33A7" w:rsidRDefault="00EB14CE" w:rsidP="00EB14CE">
                        <w:r w:rsidRPr="00AB33A7">
                          <w:t>15 m</w:t>
                        </w:r>
                        <w:r w:rsidRPr="00AB33A7">
                          <w:rPr>
                            <w:vertAlign w:val="superscript"/>
                          </w:rPr>
                          <w:t>3</w:t>
                        </w:r>
                        <w:r w:rsidRPr="00AB33A7">
                          <w:t>/</w:t>
                        </w:r>
                        <w:proofErr w:type="spellStart"/>
                        <w:r w:rsidRPr="00AB33A7">
                          <w:t>Adt</w:t>
                        </w:r>
                        <w:proofErr w:type="spellEnd"/>
                      </w:p>
                    </w:tc>
                  </w:tr>
                  <w:tr w:rsidR="00EB14CE" w:rsidRPr="00AB33A7" w:rsidTr="00EB14CE">
                    <w:tc>
                      <w:tcPr>
                        <w:tcW w:w="3316" w:type="dxa"/>
                      </w:tcPr>
                      <w:p w:rsidR="00EB14CE" w:rsidRPr="00AB33A7" w:rsidRDefault="00EB14CE" w:rsidP="00EB14CE">
                        <w:r w:rsidRPr="00AB33A7">
                          <w:t>CSB</w:t>
                        </w:r>
                      </w:p>
                    </w:tc>
                    <w:tc>
                      <w:tcPr>
                        <w:tcW w:w="4658" w:type="dxa"/>
                      </w:tcPr>
                      <w:p w:rsidR="00EB14CE" w:rsidRPr="00AB33A7" w:rsidRDefault="00EB14CE" w:rsidP="00EB14CE">
                        <w:r w:rsidRPr="00AB33A7">
                          <w:t>3 kg/</w:t>
                        </w:r>
                        <w:proofErr w:type="spellStart"/>
                        <w:r w:rsidRPr="00AB33A7">
                          <w:t>Adt</w:t>
                        </w:r>
                        <w:proofErr w:type="spellEnd"/>
                      </w:p>
                    </w:tc>
                  </w:tr>
                  <w:tr w:rsidR="00EB14CE" w:rsidRPr="00AB33A7" w:rsidTr="00EB14CE">
                    <w:tc>
                      <w:tcPr>
                        <w:tcW w:w="3316" w:type="dxa"/>
                      </w:tcPr>
                      <w:p w:rsidR="00EB14CE" w:rsidRPr="00AB33A7" w:rsidRDefault="00EB14CE" w:rsidP="00EB14CE">
                        <w:r w:rsidRPr="00AB33A7">
                          <w:t>BSB</w:t>
                        </w:r>
                        <w:r w:rsidRPr="00AB33A7">
                          <w:rPr>
                            <w:vertAlign w:val="subscript"/>
                          </w:rPr>
                          <w:t>5</w:t>
                        </w:r>
                      </w:p>
                    </w:tc>
                    <w:tc>
                      <w:tcPr>
                        <w:tcW w:w="4658" w:type="dxa"/>
                      </w:tcPr>
                      <w:p w:rsidR="00EB14CE" w:rsidRPr="00AB33A7" w:rsidRDefault="00EB14CE" w:rsidP="00EB14CE">
                        <w:r w:rsidRPr="00AB33A7">
                          <w:t>0,15 kg/</w:t>
                        </w:r>
                        <w:proofErr w:type="spellStart"/>
                        <w:r w:rsidRPr="00AB33A7">
                          <w:t>Adt</w:t>
                        </w:r>
                        <w:proofErr w:type="spellEnd"/>
                        <w:r w:rsidRPr="00AB33A7">
                          <w:t xml:space="preserve"> oder 25 mg/l </w:t>
                        </w:r>
                      </w:p>
                    </w:tc>
                  </w:tr>
                  <w:tr w:rsidR="00EB14CE" w:rsidRPr="00AB33A7" w:rsidTr="00EB14CE">
                    <w:tc>
                      <w:tcPr>
                        <w:tcW w:w="3316" w:type="dxa"/>
                      </w:tcPr>
                      <w:p w:rsidR="00EB14CE" w:rsidRPr="00AB33A7" w:rsidRDefault="00EB14CE" w:rsidP="00EB14CE">
                        <w:pPr>
                          <w:rPr>
                            <w:b/>
                          </w:rPr>
                        </w:pPr>
                        <w:r w:rsidRPr="00AB33A7">
                          <w:rPr>
                            <w:b/>
                          </w:rPr>
                          <w:t>AOX</w:t>
                        </w:r>
                      </w:p>
                    </w:tc>
                    <w:tc>
                      <w:tcPr>
                        <w:tcW w:w="4658" w:type="dxa"/>
                      </w:tcPr>
                      <w:p w:rsidR="00EB14CE" w:rsidRPr="00AB33A7" w:rsidRDefault="00EB14CE" w:rsidP="00EB14CE">
                        <w:r w:rsidRPr="00AB33A7">
                          <w:t>&lt; 0,01 kg/</w:t>
                        </w:r>
                        <w:proofErr w:type="spellStart"/>
                        <w:r w:rsidRPr="00AB33A7">
                          <w:t>Adt</w:t>
                        </w:r>
                        <w:proofErr w:type="spellEnd"/>
                      </w:p>
                    </w:tc>
                  </w:tr>
                  <w:tr w:rsidR="00EB14CE" w:rsidRPr="00AB33A7" w:rsidTr="00EB14CE">
                    <w:tc>
                      <w:tcPr>
                        <w:tcW w:w="3316" w:type="dxa"/>
                      </w:tcPr>
                      <w:p w:rsidR="00EB14CE" w:rsidRPr="00AB33A7" w:rsidRDefault="00EB14CE" w:rsidP="00EB14CE">
                        <w:r w:rsidRPr="00AB33A7">
                          <w:t>Gesamt N (anorganisch + organisch N) (</w:t>
                        </w:r>
                        <w:proofErr w:type="spellStart"/>
                        <w:r w:rsidRPr="00AB33A7">
                          <w:t>TN</w:t>
                        </w:r>
                        <w:r w:rsidRPr="00AB33A7">
                          <w:rPr>
                            <w:vertAlign w:val="subscript"/>
                          </w:rPr>
                          <w:t>b</w:t>
                        </w:r>
                        <w:proofErr w:type="spellEnd"/>
                        <w:r w:rsidRPr="00AB33A7">
                          <w:t>)</w:t>
                        </w:r>
                      </w:p>
                    </w:tc>
                    <w:tc>
                      <w:tcPr>
                        <w:tcW w:w="4658" w:type="dxa"/>
                      </w:tcPr>
                      <w:p w:rsidR="00EB14CE" w:rsidRPr="00AB33A7" w:rsidRDefault="00EB14CE" w:rsidP="00EB14CE">
                        <w:r w:rsidRPr="00AB33A7">
                          <w:t>0,07 kg/</w:t>
                        </w:r>
                        <w:proofErr w:type="spellStart"/>
                        <w:r w:rsidRPr="00AB33A7">
                          <w:t>Adt</w:t>
                        </w:r>
                        <w:proofErr w:type="spellEnd"/>
                        <w:r w:rsidRPr="00AB33A7">
                          <w:t xml:space="preserve"> oder 15 mg/l </w:t>
                        </w:r>
                      </w:p>
                    </w:tc>
                  </w:tr>
                  <w:tr w:rsidR="00EB14CE" w:rsidRPr="00AB33A7" w:rsidTr="00EB14CE">
                    <w:tc>
                      <w:tcPr>
                        <w:tcW w:w="3316" w:type="dxa"/>
                      </w:tcPr>
                      <w:p w:rsidR="00EB14CE" w:rsidRPr="00AB33A7" w:rsidRDefault="00EB14CE" w:rsidP="00EB14CE">
                        <w:r w:rsidRPr="00AB33A7">
                          <w:t>Gesamt-P</w:t>
                        </w:r>
                      </w:p>
                    </w:tc>
                    <w:tc>
                      <w:tcPr>
                        <w:tcW w:w="4658" w:type="dxa"/>
                      </w:tcPr>
                      <w:p w:rsidR="00EB14CE" w:rsidRPr="00AB33A7" w:rsidRDefault="00EB14CE" w:rsidP="00EB14CE">
                        <w:r w:rsidRPr="00AB33A7">
                          <w:t>0,008 kg/</w:t>
                        </w:r>
                        <w:proofErr w:type="spellStart"/>
                        <w:r w:rsidRPr="00AB33A7">
                          <w:t>Adt</w:t>
                        </w:r>
                        <w:proofErr w:type="spellEnd"/>
                        <w:r w:rsidRPr="00AB33A7">
                          <w:t xml:space="preserve"> oder 1,2 mg/l </w:t>
                        </w:r>
                      </w:p>
                    </w:tc>
                  </w:tr>
                </w:tbl>
                <w:p w:rsidR="00EB14CE" w:rsidRPr="00AB33A7" w:rsidRDefault="00EB14CE" w:rsidP="00420FE8">
                  <w:pPr>
                    <w:pStyle w:val="Textkrper"/>
                    <w:tabs>
                      <w:tab w:val="left" w:pos="8222"/>
                    </w:tabs>
                    <w:spacing w:line="240" w:lineRule="auto"/>
                    <w:jc w:val="left"/>
                    <w:rPr>
                      <w:rFonts w:ascii="Verdana" w:hAnsi="Verdana"/>
                      <w:sz w:val="20"/>
                      <w:szCs w:val="20"/>
                    </w:rPr>
                  </w:pPr>
                </w:p>
              </w:tc>
            </w:tr>
          </w:tbl>
          <w:p w:rsidR="00EB14CE" w:rsidRPr="00AB33A7" w:rsidRDefault="00EB14CE" w:rsidP="00420FE8">
            <w:pPr>
              <w:pStyle w:val="Textkrper"/>
              <w:tabs>
                <w:tab w:val="left" w:pos="8222"/>
              </w:tabs>
              <w:spacing w:line="240" w:lineRule="auto"/>
              <w:ind w:left="155" w:hanging="155"/>
              <w:jc w:val="left"/>
              <w:rPr>
                <w:rFonts w:ascii="Verdana" w:hAnsi="Verdana"/>
                <w:sz w:val="20"/>
                <w:szCs w:val="20"/>
              </w:rPr>
            </w:pPr>
          </w:p>
          <w:p w:rsidR="00EB14CE" w:rsidRPr="00AB33A7" w:rsidRDefault="00AB33A7" w:rsidP="00420FE8">
            <w:pPr>
              <w:pStyle w:val="Textkrper"/>
              <w:tabs>
                <w:tab w:val="left" w:pos="8222"/>
              </w:tabs>
              <w:spacing w:line="240" w:lineRule="auto"/>
              <w:ind w:left="155" w:hanging="155"/>
              <w:jc w:val="left"/>
              <w:rPr>
                <w:rFonts w:ascii="Verdana" w:hAnsi="Verdana"/>
                <w:sz w:val="20"/>
                <w:szCs w:val="20"/>
              </w:rPr>
            </w:pPr>
            <w:r w:rsidRPr="00AB33A7">
              <w:rPr>
                <w:rFonts w:ascii="Verdana" w:hAnsi="Verdana"/>
                <w:sz w:val="20"/>
                <w:szCs w:val="20"/>
              </w:rPr>
              <w:t>eingehalten werden,</w:t>
            </w:r>
            <w:r>
              <w:rPr>
                <w:rFonts w:ascii="Verdana" w:hAnsi="Verdana"/>
                <w:sz w:val="20"/>
                <w:szCs w:val="20"/>
              </w:rPr>
              <w:br/>
            </w:r>
            <w:r w:rsidRPr="00AB33A7">
              <w:rPr>
                <w:rFonts w:ascii="Verdana" w:hAnsi="Verdana"/>
                <w:sz w:val="20"/>
                <w:szCs w:val="20"/>
              </w:rPr>
              <w:t xml:space="preserve">-als </w:t>
            </w:r>
            <w:r w:rsidRPr="00AB33A7">
              <w:rPr>
                <w:rFonts w:ascii="Verdana" w:hAnsi="Verdana"/>
                <w:b/>
                <w:sz w:val="20"/>
                <w:szCs w:val="20"/>
              </w:rPr>
              <w:t>Indirekteinleiter</w:t>
            </w:r>
            <w:r w:rsidRPr="00AB33A7">
              <w:rPr>
                <w:rFonts w:ascii="Verdana" w:hAnsi="Verdana"/>
                <w:sz w:val="20"/>
                <w:szCs w:val="20"/>
              </w:rPr>
              <w:t xml:space="preserve"> die Grenzwerte</w:t>
            </w:r>
            <w:r w:rsidR="004C50B3">
              <w:rPr>
                <w:rFonts w:ascii="Verdana" w:hAnsi="Verdana"/>
                <w:sz w:val="20"/>
                <w:szCs w:val="20"/>
              </w:rPr>
              <w:t xml:space="preserve"> in der Tabelle 3-1</w:t>
            </w:r>
            <w:r w:rsidR="0098027F">
              <w:rPr>
                <w:rFonts w:ascii="Verdana" w:hAnsi="Verdana"/>
                <w:sz w:val="20"/>
                <w:szCs w:val="20"/>
              </w:rPr>
              <w:t>und insbesondere</w:t>
            </w:r>
            <w:r w:rsidRPr="00AB33A7">
              <w:rPr>
                <w:rFonts w:ascii="Verdana" w:hAnsi="Verdana"/>
                <w:sz w:val="20"/>
                <w:szCs w:val="20"/>
              </w:rPr>
              <w:t xml:space="preserve"> für den </w:t>
            </w:r>
            <w:r w:rsidRPr="00AB33A7">
              <w:rPr>
                <w:rFonts w:ascii="Verdana" w:hAnsi="Verdana"/>
                <w:b/>
                <w:sz w:val="20"/>
                <w:szCs w:val="20"/>
              </w:rPr>
              <w:t>Abwasser-Volumenstrom</w:t>
            </w:r>
            <w:r w:rsidRPr="00AB33A7">
              <w:rPr>
                <w:rFonts w:ascii="Verdana" w:hAnsi="Verdana"/>
                <w:sz w:val="20"/>
                <w:szCs w:val="20"/>
              </w:rPr>
              <w:t xml:space="preserve"> und den </w:t>
            </w:r>
            <w:r w:rsidRPr="00AB33A7">
              <w:rPr>
                <w:rFonts w:ascii="Verdana" w:hAnsi="Verdana"/>
                <w:b/>
                <w:sz w:val="20"/>
                <w:szCs w:val="20"/>
              </w:rPr>
              <w:t>AOX</w:t>
            </w:r>
            <w:r w:rsidRPr="00AB33A7">
              <w:rPr>
                <w:rFonts w:ascii="Verdana" w:hAnsi="Verdana"/>
                <w:sz w:val="20"/>
                <w:szCs w:val="20"/>
              </w:rPr>
              <w:t>-Wert am Ort der Vermischung</w:t>
            </w:r>
            <w:r w:rsidR="0098027F">
              <w:rPr>
                <w:rFonts w:ascii="Verdana" w:hAnsi="Verdana"/>
                <w:sz w:val="20"/>
                <w:szCs w:val="20"/>
              </w:rPr>
              <w:t>,</w:t>
            </w:r>
            <w:r>
              <w:rPr>
                <w:rFonts w:ascii="Verdana" w:hAnsi="Verdana"/>
                <w:sz w:val="20"/>
                <w:szCs w:val="20"/>
              </w:rPr>
              <w:t xml:space="preserve"> eingehalten werden,</w:t>
            </w:r>
          </w:p>
          <w:p w:rsidR="00A478C5" w:rsidRPr="00AB33A7" w:rsidRDefault="00A478C5" w:rsidP="00420FE8">
            <w:pPr>
              <w:pStyle w:val="Textkrper"/>
              <w:tabs>
                <w:tab w:val="left" w:pos="8222"/>
              </w:tabs>
              <w:spacing w:line="240" w:lineRule="auto"/>
              <w:ind w:left="155" w:hanging="155"/>
              <w:jc w:val="left"/>
              <w:rPr>
                <w:rFonts w:ascii="Verdana" w:hAnsi="Verdana"/>
                <w:sz w:val="20"/>
                <w:szCs w:val="20"/>
              </w:rPr>
            </w:pPr>
          </w:p>
        </w:tc>
      </w:tr>
      <w:tr w:rsidR="00A478C5" w:rsidRPr="00090161" w:rsidTr="006E052A">
        <w:tc>
          <w:tcPr>
            <w:tcW w:w="1231" w:type="dxa"/>
            <w:shd w:val="clear" w:color="auto" w:fill="auto"/>
          </w:tcPr>
          <w:p w:rsidR="00A478C5" w:rsidRPr="00090161" w:rsidRDefault="006E052A"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w:t>
            </w:r>
            <w:r w:rsidR="006D11F3">
              <w:rPr>
                <w:rFonts w:ascii="Verdana" w:hAnsi="Verdana"/>
                <w:b/>
                <w:sz w:val="20"/>
                <w:szCs w:val="20"/>
              </w:rPr>
              <w:t>4</w:t>
            </w:r>
          </w:p>
        </w:tc>
        <w:tc>
          <w:tcPr>
            <w:tcW w:w="8581" w:type="dxa"/>
            <w:shd w:val="clear" w:color="auto" w:fill="auto"/>
          </w:tcPr>
          <w:p w:rsidR="00A478C5" w:rsidRPr="00AB33A7" w:rsidRDefault="006E052A" w:rsidP="00420FE8">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dass die technischen Anforderungen der DIN-Normen eingehalten werden, sofern es für das beantragte Produkt Normen gibt,</w:t>
            </w:r>
          </w:p>
          <w:p w:rsidR="00A478C5" w:rsidRPr="00AB33A7" w:rsidRDefault="00A478C5" w:rsidP="00420FE8">
            <w:pPr>
              <w:pStyle w:val="Textkrper"/>
              <w:tabs>
                <w:tab w:val="left" w:pos="8222"/>
              </w:tabs>
              <w:spacing w:line="240" w:lineRule="auto"/>
              <w:ind w:left="155" w:hanging="155"/>
              <w:jc w:val="left"/>
              <w:rPr>
                <w:rFonts w:ascii="Verdana" w:hAnsi="Verdana"/>
                <w:sz w:val="20"/>
                <w:szCs w:val="20"/>
              </w:rPr>
            </w:pPr>
          </w:p>
        </w:tc>
      </w:tr>
    </w:tbl>
    <w:p w:rsidR="006D11F3" w:rsidRDefault="006D11F3" w:rsidP="00420FE8">
      <w:pPr>
        <w:pStyle w:val="Textkrper"/>
        <w:tabs>
          <w:tab w:val="left" w:pos="8222"/>
        </w:tabs>
        <w:spacing w:line="240" w:lineRule="auto"/>
        <w:jc w:val="left"/>
        <w:rPr>
          <w:rFonts w:ascii="Verdana" w:hAnsi="Verdana"/>
          <w:b/>
          <w:sz w:val="20"/>
          <w:szCs w:val="20"/>
        </w:rPr>
        <w:sectPr w:rsidR="006D11F3" w:rsidSect="00581C26">
          <w:pgSz w:w="11906" w:h="16838"/>
          <w:pgMar w:top="1134" w:right="1276" w:bottom="1134" w:left="1276" w:header="1417"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A478C5" w:rsidRPr="00090161" w:rsidTr="006E052A">
        <w:tc>
          <w:tcPr>
            <w:tcW w:w="1231" w:type="dxa"/>
            <w:shd w:val="clear" w:color="auto" w:fill="auto"/>
          </w:tcPr>
          <w:p w:rsidR="00A478C5" w:rsidRPr="00090161" w:rsidRDefault="00A478C5" w:rsidP="00420FE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3.1</w:t>
            </w:r>
            <w:r w:rsidR="006D11F3">
              <w:rPr>
                <w:rFonts w:ascii="Verdana" w:hAnsi="Verdana"/>
                <w:b/>
                <w:sz w:val="20"/>
                <w:szCs w:val="20"/>
              </w:rPr>
              <w:t>5</w:t>
            </w:r>
          </w:p>
        </w:tc>
        <w:tc>
          <w:tcPr>
            <w:tcW w:w="8581" w:type="dxa"/>
            <w:shd w:val="clear" w:color="auto" w:fill="auto"/>
          </w:tcPr>
          <w:p w:rsidR="00A478C5" w:rsidRDefault="00A478C5" w:rsidP="006E052A">
            <w:r>
              <w:t>-dass wir zur Kenntnis genommen haben, dass b</w:t>
            </w:r>
            <w:r w:rsidRPr="00AD7AEE">
              <w:t>ei der Revision de</w:t>
            </w:r>
            <w:r w:rsidR="00FE43BC">
              <w:t xml:space="preserve">r Kriterien </w:t>
            </w:r>
            <w:r w:rsidRPr="00AD7AEE">
              <w:t xml:space="preserve"> zukünftig Nachweise verlangt</w:t>
            </w:r>
            <w:r>
              <w:t xml:space="preserve"> </w:t>
            </w:r>
            <w:r w:rsidRPr="00AD7AEE">
              <w:t xml:space="preserve">werden, aus denen hervorgeht, dass die nachwachsenden Rohstoffe, die  zum Beispiel für die Herstellung von mineralölfreien </w:t>
            </w:r>
            <w:r>
              <w:t>Farbmitteln</w:t>
            </w:r>
            <w:r w:rsidRPr="00AD7AEE">
              <w:t xml:space="preserve"> verwendet werden, aus verantwortungsvollen</w:t>
            </w:r>
            <w:r>
              <w:t>, gentechnikfreien, möglichst regionalen</w:t>
            </w:r>
            <w:r w:rsidRPr="00AD7AEE">
              <w:t xml:space="preserve"> Quellen stammen und mit geeigne</w:t>
            </w:r>
            <w:r>
              <w:t>t</w:t>
            </w:r>
            <w:r w:rsidRPr="00AD7AEE">
              <w:t xml:space="preserve">en </w:t>
            </w:r>
            <w:proofErr w:type="spellStart"/>
            <w:r w:rsidRPr="00AD7AEE">
              <w:t>Zertifizierungssytemen</w:t>
            </w:r>
            <w:proofErr w:type="spellEnd"/>
            <w:r w:rsidRPr="00AD7AEE">
              <w:t xml:space="preserve"> geprüft sind.</w:t>
            </w:r>
          </w:p>
          <w:p w:rsidR="00A478C5" w:rsidRPr="00090161" w:rsidRDefault="00A478C5" w:rsidP="00420FE8">
            <w:pPr>
              <w:pStyle w:val="Textkrper"/>
              <w:tabs>
                <w:tab w:val="left" w:pos="8222"/>
              </w:tabs>
              <w:spacing w:line="240" w:lineRule="auto"/>
              <w:ind w:left="155" w:hanging="155"/>
              <w:jc w:val="left"/>
              <w:rPr>
                <w:rFonts w:ascii="Verdana" w:hAnsi="Verdana"/>
                <w:sz w:val="20"/>
                <w:szCs w:val="20"/>
              </w:rPr>
            </w:pPr>
          </w:p>
        </w:tc>
      </w:tr>
    </w:tbl>
    <w:p w:rsidR="00581C26" w:rsidRPr="00F1664D" w:rsidRDefault="00581C26"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rsidTr="002A6E9C">
        <w:trPr>
          <w:trHeight w:val="488"/>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2030"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5"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5"/>
          </w:p>
        </w:tc>
        <w:tc>
          <w:tcPr>
            <w:tcW w:w="448"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F53FA5" w:rsidRPr="00F1664D" w:rsidTr="0076668E">
        <w:tc>
          <w:tcPr>
            <w:tcW w:w="1273" w:type="dxa"/>
            <w:tcBorders>
              <w:top w:val="nil"/>
              <w:left w:val="nil"/>
              <w:bottom w:val="nil"/>
              <w:right w:val="nil"/>
            </w:tcBorders>
            <w:vAlign w:val="center"/>
          </w:tcPr>
          <w:p w:rsidR="00F53FA5" w:rsidRPr="00F1664D" w:rsidRDefault="00F53FA5" w:rsidP="00B25A65">
            <w:pPr>
              <w:rPr>
                <w:rFonts w:cs="Arial"/>
                <w:b/>
              </w:rPr>
            </w:pPr>
          </w:p>
        </w:tc>
        <w:tc>
          <w:tcPr>
            <w:tcW w:w="2030" w:type="dxa"/>
            <w:tcBorders>
              <w:left w:val="nil"/>
              <w:right w:val="nil"/>
            </w:tcBorders>
            <w:vAlign w:val="center"/>
          </w:tcPr>
          <w:p w:rsidR="00F53FA5" w:rsidRPr="00F1664D" w:rsidRDefault="00F53FA5" w:rsidP="00B25A65">
            <w:pPr>
              <w:jc w:val="center"/>
              <w:rPr>
                <w:rFonts w:cs="Arial"/>
                <w:b/>
              </w:rPr>
            </w:pPr>
          </w:p>
        </w:tc>
        <w:tc>
          <w:tcPr>
            <w:tcW w:w="448" w:type="dxa"/>
            <w:tcBorders>
              <w:top w:val="nil"/>
              <w:left w:val="nil"/>
              <w:bottom w:val="nil"/>
            </w:tcBorders>
          </w:tcPr>
          <w:p w:rsidR="00F53FA5" w:rsidRPr="00F1664D" w:rsidRDefault="00F53FA5" w:rsidP="00B25A65">
            <w:pPr>
              <w:jc w:val="center"/>
              <w:rPr>
                <w:rFonts w:cs="Arial"/>
                <w:b/>
              </w:rPr>
            </w:pPr>
          </w:p>
        </w:tc>
        <w:tc>
          <w:tcPr>
            <w:tcW w:w="5580"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6E052A">
        <w:trPr>
          <w:trHeight w:val="1348"/>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2030"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6"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6"/>
          </w:p>
        </w:tc>
        <w:tc>
          <w:tcPr>
            <w:tcW w:w="448" w:type="dxa"/>
            <w:tcBorders>
              <w:top w:val="nil"/>
              <w:bottom w:val="nil"/>
            </w:tcBorders>
          </w:tcPr>
          <w:p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F1664D" w:rsidRDefault="0069688C" w:rsidP="00B25A65">
      <w:pPr>
        <w:jc w:val="right"/>
        <w:rPr>
          <w:rFonts w:cs="Arial"/>
        </w:rPr>
      </w:pPr>
      <w:r w:rsidRPr="00F1664D">
        <w:rPr>
          <w:rFonts w:cs="Arial"/>
          <w:b/>
        </w:rPr>
        <w:t>Rechtsverbindliche Unterschrift / Firmenstempel</w:t>
      </w:r>
    </w:p>
    <w:sectPr w:rsidR="0076549D" w:rsidRPr="00F1664D" w:rsidSect="00581C26">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492" w:rsidRDefault="00125492">
      <w:r>
        <w:separator/>
      </w:r>
    </w:p>
  </w:endnote>
  <w:endnote w:type="continuationSeparator" w:id="0">
    <w:p w:rsidR="00125492" w:rsidRDefault="0012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CE8" w:rsidRDefault="009A2C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1D489D" w:rsidP="00581C26">
    <w:pPr>
      <w:pStyle w:val="Fuzeile"/>
      <w:tabs>
        <w:tab w:val="clear" w:pos="9072"/>
        <w:tab w:val="right" w:pos="9540"/>
      </w:tabs>
      <w:rPr>
        <w:rFonts w:cs="Arial"/>
      </w:rPr>
    </w:pPr>
    <w:r>
      <w:rPr>
        <w:rFonts w:cs="Arial"/>
      </w:rPr>
      <w:t xml:space="preserve">05.08.2020 </w:t>
    </w:r>
    <w:r w:rsidR="00E83255" w:rsidRPr="00B010C2">
      <w:rPr>
        <w:rFonts w:cs="Arial"/>
      </w:rPr>
      <w:t xml:space="preserve">Anlage </w:t>
    </w:r>
    <w:r w:rsidR="00972861">
      <w:rPr>
        <w:rFonts w:cs="Arial"/>
      </w:rPr>
      <w:t>1</w:t>
    </w:r>
    <w:r w:rsidR="00E83255" w:rsidRPr="00B010C2">
      <w:rPr>
        <w:rFonts w:cs="Arial"/>
      </w:rPr>
      <w:t xml:space="preserve"> zum Vertrag</w:t>
    </w:r>
    <w:r w:rsidR="00E83255" w:rsidRPr="00B010C2">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ab/>
      <w:t xml:space="preserve">     </w:t>
    </w:r>
    <w:r w:rsidR="008A1D38" w:rsidRPr="00B010C2">
      <w:rPr>
        <w:rStyle w:val="Seitenzahl"/>
        <w:rFonts w:cs="Arial"/>
      </w:rPr>
      <w:t>DE</w:t>
    </w:r>
    <w:r w:rsidR="00E83255" w:rsidRPr="00B010C2">
      <w:rPr>
        <w:rStyle w:val="Seitenzahl"/>
        <w:rFonts w:cs="Arial"/>
      </w:rPr>
      <w:t xml:space="preserve">-UZ </w:t>
    </w:r>
    <w:r w:rsidR="00FF73BC" w:rsidRPr="00B010C2">
      <w:rPr>
        <w:rStyle w:val="Seitenzahl"/>
        <w:rFonts w:cs="Arial"/>
      </w:rPr>
      <w:t>14</w:t>
    </w:r>
    <w:r w:rsidR="00972861">
      <w:rPr>
        <w:rStyle w:val="Seitenzahl"/>
        <w:rFonts w:cs="Arial"/>
      </w:rPr>
      <w:t>a</w:t>
    </w:r>
    <w:r w:rsidR="00E83255" w:rsidRPr="00B010C2">
      <w:rPr>
        <w:rStyle w:val="Seitenzahl"/>
        <w:rFonts w:cs="Arial"/>
      </w:rPr>
      <w:t xml:space="preserve"> Ausgabe </w:t>
    </w:r>
    <w:r w:rsidR="009A2CE8">
      <w:rPr>
        <w:rStyle w:val="Seitenzahl"/>
        <w:rFonts w:cs="Arial"/>
      </w:rPr>
      <w:t>Januar</w:t>
    </w:r>
    <w:r w:rsidR="00E83255" w:rsidRPr="00B010C2">
      <w:rPr>
        <w:rStyle w:val="Seitenzahl"/>
        <w:rFonts w:cs="Arial"/>
      </w:rPr>
      <w:t xml:space="preserve"> 20</w:t>
    </w:r>
    <w:r w:rsidR="00972861">
      <w:rPr>
        <w:rStyle w:val="Seitenzahl"/>
        <w:rFonts w:cs="Arial"/>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492" w:rsidRDefault="00125492">
      <w:r>
        <w:separator/>
      </w:r>
    </w:p>
  </w:footnote>
  <w:footnote w:type="continuationSeparator" w:id="0">
    <w:p w:rsidR="00125492" w:rsidRDefault="00125492">
      <w:r>
        <w:continuationSeparator/>
      </w:r>
    </w:p>
  </w:footnote>
  <w:footnote w:id="1">
    <w:p w:rsidR="009A2FA7" w:rsidRDefault="009A2FA7" w:rsidP="009A2FA7">
      <w:pPr>
        <w:pStyle w:val="Funotentext"/>
      </w:pPr>
      <w:r>
        <w:rPr>
          <w:rStyle w:val="Funotenzeichen"/>
        </w:rPr>
        <w:footnoteRef/>
      </w:r>
      <w:r>
        <w:t xml:space="preserve"> </w:t>
      </w:r>
      <w:hyperlink r:id="rId1" w:history="1">
        <w:r w:rsidRPr="00407AB3">
          <w:rPr>
            <w:rStyle w:val="Hyperlink"/>
          </w:rPr>
          <w:t>http://www.baua.de/nn_16812/de/Themen-von -A-Z/Gefahrstoffe/TRGS/</w:t>
        </w:r>
        <w:proofErr w:type="spellStart"/>
        <w:r w:rsidRPr="00407AB3">
          <w:rPr>
            <w:rStyle w:val="Hyperlink"/>
          </w:rPr>
          <w:t>pdf</w:t>
        </w:r>
        <w:proofErr w:type="spellEnd"/>
        <w:r w:rsidRPr="00407AB3">
          <w:rPr>
            <w:rStyle w:val="Hyperlink"/>
          </w:rPr>
          <w:t>/TRGS-905.pdf</w:t>
        </w:r>
      </w:hyperlink>
      <w:r>
        <w:t xml:space="preserve"> </w:t>
      </w:r>
    </w:p>
  </w:footnote>
  <w:footnote w:id="2">
    <w:p w:rsidR="00CE6992" w:rsidRPr="007F237E" w:rsidRDefault="00CE6992" w:rsidP="00CE6992">
      <w:pPr>
        <w:pStyle w:val="Funotentext"/>
      </w:pPr>
      <w:r w:rsidRPr="005D354B">
        <w:rPr>
          <w:rStyle w:val="Funotenzeichen"/>
        </w:rPr>
        <w:footnoteRef/>
      </w:r>
      <w:r>
        <w:t xml:space="preserve"> </w:t>
      </w:r>
      <w:hyperlink r:id="rId2" w:history="1">
        <w:r w:rsidR="007854B1" w:rsidRPr="00FA4154">
          <w:rPr>
            <w:rStyle w:val="Hyperlink"/>
          </w:rPr>
          <w:t>https://www.baua.de/DE/Angebote/Rechtstexte-und-Technische-Regeln/Regelwerk/TRGS/TRGS-614.html</w:t>
        </w:r>
      </w:hyperlink>
      <w:r w:rsidRPr="00F1393E">
        <w:rPr>
          <w:rStyle w:val="Hyperlink"/>
        </w:rPr>
        <w:t xml:space="preserve"> </w:t>
      </w:r>
    </w:p>
  </w:footnote>
  <w:footnote w:id="3">
    <w:p w:rsidR="00EB14CE" w:rsidRDefault="00EB14CE" w:rsidP="00EB14CE">
      <w:pPr>
        <w:pStyle w:val="Funotentext"/>
      </w:pPr>
      <w:r>
        <w:rPr>
          <w:rStyle w:val="Funotenzeichen"/>
        </w:rPr>
        <w:footnoteRef/>
      </w:r>
      <w:r>
        <w:t xml:space="preserve"> </w:t>
      </w:r>
      <w:r w:rsidRPr="00256682">
        <w:rPr>
          <w:bCs/>
        </w:rPr>
        <w:t>BREF</w:t>
      </w:r>
      <w:r w:rsidRPr="00256682">
        <w:t xml:space="preserve"> (Best </w:t>
      </w:r>
      <w:proofErr w:type="spellStart"/>
      <w:r w:rsidRPr="00256682">
        <w:t>Available</w:t>
      </w:r>
      <w:proofErr w:type="spellEnd"/>
      <w:r w:rsidRPr="00256682">
        <w:t xml:space="preserve"> </w:t>
      </w:r>
      <w:proofErr w:type="spellStart"/>
      <w:r w:rsidRPr="00256682">
        <w:t>Techniques</w:t>
      </w:r>
      <w:proofErr w:type="spellEnd"/>
      <w:r w:rsidRPr="00256682">
        <w:t xml:space="preserve"> Reference </w:t>
      </w:r>
      <w:proofErr w:type="spellStart"/>
      <w:r w:rsidRPr="00256682">
        <w:t>Document</w:t>
      </w:r>
      <w:proofErr w:type="spellEnd"/>
      <w:r w:rsidRPr="00256682">
        <w:t xml:space="preserve">) Vollversion und BVT-Schlussfolgerungen in Deutsch und Englisch unter </w:t>
      </w:r>
      <w:hyperlink r:id="rId3" w:history="1">
        <w:r w:rsidRPr="00256682">
          <w:rPr>
            <w:rStyle w:val="Hyperlink"/>
          </w:rPr>
          <w:t>https://www.umweltbundesamt.de/themen/wirtschaft-konsum/beste-verfuegbare-techniken/sevilla-prozess/bvt-merkblaetter-durchfuehrungsbeschluesse</w:t>
        </w:r>
      </w:hyperlink>
    </w:p>
    <w:p w:rsidR="00EB14CE" w:rsidRDefault="00EB14CE" w:rsidP="00EB14CE">
      <w:pPr>
        <w:pStyle w:val="Funotentext"/>
      </w:pPr>
      <w:r>
        <w:t xml:space="preserve">Anhang 28 </w:t>
      </w:r>
      <w:r w:rsidRPr="00EB01A5">
        <w:t>Herstellung von Papier, Karton oder Pappe</w:t>
      </w:r>
      <w:r>
        <w:t xml:space="preserve"> der Abwasserverordnung: </w:t>
      </w:r>
      <w:r w:rsidRPr="00EB01A5">
        <w:t>https://www.gesetze-im-internet.de/abwv/anhang_28.html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CE8" w:rsidRDefault="009A2CE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3"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3"/>
  </w:num>
  <w:num w:numId="2">
    <w:abstractNumId w:val="6"/>
  </w:num>
  <w:num w:numId="3">
    <w:abstractNumId w:val="26"/>
  </w:num>
  <w:num w:numId="4">
    <w:abstractNumId w:val="31"/>
  </w:num>
  <w:num w:numId="5">
    <w:abstractNumId w:val="5"/>
  </w:num>
  <w:num w:numId="6">
    <w:abstractNumId w:val="29"/>
  </w:num>
  <w:num w:numId="7">
    <w:abstractNumId w:val="30"/>
  </w:num>
  <w:num w:numId="8">
    <w:abstractNumId w:val="15"/>
  </w:num>
  <w:num w:numId="9">
    <w:abstractNumId w:val="18"/>
  </w:num>
  <w:num w:numId="10">
    <w:abstractNumId w:val="9"/>
  </w:num>
  <w:num w:numId="11">
    <w:abstractNumId w:val="27"/>
  </w:num>
  <w:num w:numId="12">
    <w:abstractNumId w:val="11"/>
  </w:num>
  <w:num w:numId="13">
    <w:abstractNumId w:val="7"/>
  </w:num>
  <w:num w:numId="14">
    <w:abstractNumId w:val="2"/>
  </w:num>
  <w:num w:numId="15">
    <w:abstractNumId w:val="13"/>
  </w:num>
  <w:num w:numId="16">
    <w:abstractNumId w:val="10"/>
  </w:num>
  <w:num w:numId="17">
    <w:abstractNumId w:val="16"/>
  </w:num>
  <w:num w:numId="18">
    <w:abstractNumId w:val="14"/>
  </w:num>
  <w:num w:numId="19">
    <w:abstractNumId w:val="3"/>
  </w:num>
  <w:num w:numId="20">
    <w:abstractNumId w:val="12"/>
  </w:num>
  <w:num w:numId="21">
    <w:abstractNumId w:val="28"/>
  </w:num>
  <w:num w:numId="22">
    <w:abstractNumId w:val="0"/>
  </w:num>
  <w:num w:numId="23">
    <w:abstractNumId w:val="19"/>
  </w:num>
  <w:num w:numId="24">
    <w:abstractNumId w:val="21"/>
  </w:num>
  <w:num w:numId="25">
    <w:abstractNumId w:val="17"/>
  </w:num>
  <w:num w:numId="26">
    <w:abstractNumId w:val="20"/>
  </w:num>
  <w:num w:numId="27">
    <w:abstractNumId w:val="4"/>
  </w:num>
  <w:num w:numId="28">
    <w:abstractNumId w:val="8"/>
  </w:num>
  <w:num w:numId="29">
    <w:abstractNumId w:val="22"/>
  </w:num>
  <w:num w:numId="30">
    <w:abstractNumId w:val="24"/>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pXt4J1QHVA+i/Zvl6lCzfZ9xo8ZXrWKZYmgGuSeilhf6XOxR1b7Oxb4ZAj0ThaYHpkjDkcGuh+3iFaFxBFnnzA==" w:salt="Ja769TNDsW/yz6ofhxj2Ig=="/>
  <w:defaultTabStop w:val="708"/>
  <w:autoHyphenation/>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395"/>
    <w:rsid w:val="000838DE"/>
    <w:rsid w:val="0008554C"/>
    <w:rsid w:val="00085F58"/>
    <w:rsid w:val="00086844"/>
    <w:rsid w:val="00087088"/>
    <w:rsid w:val="0008747A"/>
    <w:rsid w:val="00087954"/>
    <w:rsid w:val="00090161"/>
    <w:rsid w:val="00090D8E"/>
    <w:rsid w:val="000915D8"/>
    <w:rsid w:val="00091FF3"/>
    <w:rsid w:val="00093447"/>
    <w:rsid w:val="00094261"/>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489D"/>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F85"/>
    <w:rsid w:val="002B3700"/>
    <w:rsid w:val="002B5FDE"/>
    <w:rsid w:val="002B7DAF"/>
    <w:rsid w:val="002C01FE"/>
    <w:rsid w:val="002C3E40"/>
    <w:rsid w:val="002C3F22"/>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2722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6FB1"/>
    <w:rsid w:val="005477B0"/>
    <w:rsid w:val="00547BED"/>
    <w:rsid w:val="00547F69"/>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AF4"/>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11F3"/>
    <w:rsid w:val="006D41E4"/>
    <w:rsid w:val="006D4A12"/>
    <w:rsid w:val="006D56A8"/>
    <w:rsid w:val="006D598B"/>
    <w:rsid w:val="006D5B11"/>
    <w:rsid w:val="006D666F"/>
    <w:rsid w:val="006D6A9D"/>
    <w:rsid w:val="006D7CD0"/>
    <w:rsid w:val="006E00F9"/>
    <w:rsid w:val="006E02EB"/>
    <w:rsid w:val="006E052A"/>
    <w:rsid w:val="006E3730"/>
    <w:rsid w:val="006E477F"/>
    <w:rsid w:val="006E5000"/>
    <w:rsid w:val="006E6E7F"/>
    <w:rsid w:val="006E7D67"/>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4B1"/>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A77CC"/>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5891"/>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2CE8"/>
    <w:rsid w:val="009A2FA7"/>
    <w:rsid w:val="009A3E94"/>
    <w:rsid w:val="009A459E"/>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0BE"/>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3F13"/>
    <w:rsid w:val="00AB026C"/>
    <w:rsid w:val="00AB078E"/>
    <w:rsid w:val="00AB0C0D"/>
    <w:rsid w:val="00AB20D6"/>
    <w:rsid w:val="00AB25A9"/>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11A5"/>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6422"/>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27C"/>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43BC"/>
    <w:rsid w:val="00FE51C8"/>
    <w:rsid w:val="00FE542D"/>
    <w:rsid w:val="00FE7534"/>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9A2FA7"/>
    <w:pPr>
      <w:keepNext/>
      <w:numPr>
        <w:ilvl w:val="1"/>
        <w:numId w:val="31"/>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9A2FA7"/>
    <w:pPr>
      <w:keepNext/>
      <w:numPr>
        <w:ilvl w:val="2"/>
        <w:numId w:val="31"/>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9A2FA7"/>
    <w:pPr>
      <w:numPr>
        <w:numId w:val="30"/>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9A2FA7"/>
    <w:rPr>
      <w:rFonts w:ascii="Verdana" w:eastAsiaTheme="minorEastAsia" w:hAnsi="Verdana" w:cstheme="minorBidi"/>
      <w:lang w:eastAsia="ja-JP"/>
    </w:rPr>
  </w:style>
  <w:style w:type="paragraph" w:customStyle="1" w:styleId="Anhangberschrift">
    <w:name w:val="Anhang Überschrift"/>
    <w:basedOn w:val="Listenabsatz"/>
    <w:next w:val="Standard"/>
    <w:qFormat/>
    <w:rsid w:val="009A2FA7"/>
    <w:pPr>
      <w:keepNext/>
      <w:numPr>
        <w:numId w:val="31"/>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9A2FA7"/>
    <w:pPr>
      <w:numPr>
        <w:ilvl w:val="4"/>
        <w:numId w:val="31"/>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9A2FA7"/>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9A2FA7"/>
    <w:pPr>
      <w:numPr>
        <w:ilvl w:val="3"/>
      </w:numPr>
    </w:pPr>
    <w:rPr>
      <w:rFonts w:eastAsia="Times New Roman" w:cs="Times New Roman"/>
      <w:bCs/>
    </w:rPr>
  </w:style>
  <w:style w:type="character" w:styleId="NichtaufgelsteErwhnung">
    <w:name w:val="Unresolved Mention"/>
    <w:basedOn w:val="Absatz-Standardschriftart"/>
    <w:uiPriority w:val="99"/>
    <w:semiHidden/>
    <w:unhideWhenUsed/>
    <w:rsid w:val="007854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www.umweltbundesamt.de/themen/wirtschaft-konsum/beste-verfuegbare-techniken/sevilla-prozess/bvt-merkblaetter-durchfuehrungsbeschluesse" TargetMode="External"/><Relationship Id="rId2" Type="http://schemas.openxmlformats.org/officeDocument/2006/relationships/hyperlink" Target="https://www.baua.de/DE/Angebote/Rechtstexte-und-Technische-Regeln/Regelwerk/TRGS/TRGS-614.html" TargetMode="External"/><Relationship Id="rId1" Type="http://schemas.openxmlformats.org/officeDocument/2006/relationships/hyperlink" Target="http://www.baua.de/nn_16812/de/Themen-von%20-A-Z/Gefahrstoffe/TRGS/pdf/TRGS-905.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8F665-4ECB-46D4-97A3-92A3D7D04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1111</Words>
  <Characters>7005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Reithel, Marina</cp:lastModifiedBy>
  <cp:revision>4</cp:revision>
  <cp:lastPrinted>2020-02-12T07:23:00Z</cp:lastPrinted>
  <dcterms:created xsi:type="dcterms:W3CDTF">2020-08-05T08:34:00Z</dcterms:created>
  <dcterms:modified xsi:type="dcterms:W3CDTF">2020-11-19T16:02:00Z</dcterms:modified>
</cp:coreProperties>
</file>